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AE7F" w14:textId="7F930507" w:rsidR="004B36AF" w:rsidRDefault="004B36AF">
      <w:pPr>
        <w:rPr>
          <w:b/>
          <w:bCs/>
          <w:sz w:val="32"/>
          <w:szCs w:val="32"/>
        </w:rPr>
      </w:pPr>
      <w:r w:rsidRPr="0089493E">
        <w:rPr>
          <w:noProof/>
        </w:rPr>
        <w:drawing>
          <wp:anchor distT="0" distB="0" distL="114300" distR="114300" simplePos="0" relativeHeight="251659264" behindDoc="0" locked="0" layoutInCell="0" allowOverlap="1" wp14:anchorId="76F456D2" wp14:editId="78DBD064">
            <wp:simplePos x="0" y="0"/>
            <wp:positionH relativeFrom="margin">
              <wp:posOffset>317</wp:posOffset>
            </wp:positionH>
            <wp:positionV relativeFrom="margin">
              <wp:posOffset>65722</wp:posOffset>
            </wp:positionV>
            <wp:extent cx="2292350" cy="61595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e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1D871" w14:textId="20372BAB" w:rsidR="00F77B13" w:rsidRPr="00A47B0A" w:rsidRDefault="00F77B13" w:rsidP="00E53839">
      <w:pPr>
        <w:jc w:val="right"/>
        <w:rPr>
          <w:b/>
          <w:bCs/>
          <w:sz w:val="32"/>
          <w:szCs w:val="32"/>
        </w:rPr>
      </w:pPr>
      <w:r w:rsidRPr="00A47B0A">
        <w:rPr>
          <w:b/>
          <w:bCs/>
          <w:sz w:val="32"/>
          <w:szCs w:val="32"/>
        </w:rPr>
        <w:t>Outcomes Assessment Plan</w:t>
      </w:r>
      <w:r w:rsidR="00F05630" w:rsidRPr="00A47B0A">
        <w:rPr>
          <w:b/>
          <w:bCs/>
          <w:sz w:val="32"/>
          <w:szCs w:val="32"/>
        </w:rPr>
        <w:t xml:space="preserve"> Checklist</w:t>
      </w:r>
    </w:p>
    <w:p w14:paraId="18A9BCD2" w14:textId="5F2161BA" w:rsidR="00F77B13" w:rsidRDefault="00F77B13"/>
    <w:p w14:paraId="6BE167D5" w14:textId="77777777" w:rsidR="004B36AF" w:rsidRDefault="004B36AF"/>
    <w:p w14:paraId="1EAF1402" w14:textId="199F72B4" w:rsidR="00F77B13" w:rsidRDefault="00F77B13">
      <w:r>
        <w:t xml:space="preserve">The following checklist is being provided as a tool to assist programs with ensuring the minimum requirements of the IACBE Outcomes Assessment Plan (OAP) are met. It is not meant to be a </w:t>
      </w:r>
      <w:r w:rsidR="00FF44E4">
        <w:t xml:space="preserve">comprehensive </w:t>
      </w:r>
      <w:r>
        <w:t>representation of how the IACBE will evaluate any individual OAP.</w:t>
      </w:r>
      <w:r w:rsidR="00AB23CA">
        <w:t xml:space="preserve"> </w:t>
      </w:r>
      <w:r w:rsidR="00DF6150">
        <w:t xml:space="preserve">There must be </w:t>
      </w:r>
      <w:r w:rsidR="00FF44E4">
        <w:t>one set of Broad-Based Goals for the business unit, and one</w:t>
      </w:r>
      <w:r w:rsidR="00DF6150">
        <w:t xml:space="preserve"> Student Learning Assessment </w:t>
      </w:r>
      <w:r w:rsidR="00FF44E4">
        <w:t>section</w:t>
      </w:r>
      <w:r w:rsidR="00DF6150">
        <w:t xml:space="preserve"> for each program t</w:t>
      </w:r>
      <w:r w:rsidR="00FF44E4">
        <w:t>hat is</w:t>
      </w:r>
      <w:r w:rsidR="00DF6150">
        <w:t xml:space="preserve"> be</w:t>
      </w:r>
      <w:r w:rsidR="00FF44E4">
        <w:t>ing</w:t>
      </w:r>
      <w:r w:rsidR="00DF6150">
        <w:t xml:space="preserve"> considered for accreditation. </w:t>
      </w:r>
      <w:r w:rsidR="00AB23CA">
        <w:t>Use more than one copy or add columns if you have more than four programs.</w:t>
      </w:r>
    </w:p>
    <w:p w14:paraId="7B3E2CEC" w14:textId="742ABE57" w:rsidR="00F77B13" w:rsidRDefault="00F77B13"/>
    <w:p w14:paraId="26D5131B" w14:textId="77777777" w:rsidR="00F05630" w:rsidRDefault="00F05630"/>
    <w:tbl>
      <w:tblPr>
        <w:tblW w:w="10975" w:type="dxa"/>
        <w:tblLook w:val="04A0" w:firstRow="1" w:lastRow="0" w:firstColumn="1" w:lastColumn="0" w:noHBand="0" w:noVBand="1"/>
      </w:tblPr>
      <w:tblGrid>
        <w:gridCol w:w="9625"/>
        <w:gridCol w:w="1350"/>
      </w:tblGrid>
      <w:tr w:rsidR="00F77B13" w:rsidRPr="00F77B13" w14:paraId="6BF3DE03" w14:textId="77777777" w:rsidTr="00042DD1">
        <w:trPr>
          <w:trHeight w:val="600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4497B1BA" w14:textId="2C82AD54" w:rsidR="00F77B13" w:rsidRPr="00F77B13" w:rsidRDefault="00DF6150" w:rsidP="00F77B13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bookmarkStart w:id="0" w:name="_Hlk110239897"/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 xml:space="preserve">Section I: </w:t>
            </w:r>
            <w:r w:rsidR="00F77B13" w:rsidRPr="00F77B1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Mission and Broad-Based Goals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14:paraId="0A8A0524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Yes/No</w:t>
            </w:r>
          </w:p>
        </w:tc>
      </w:tr>
      <w:tr w:rsidR="00F77B13" w:rsidRPr="00F77B13" w14:paraId="2C897C26" w14:textId="77777777" w:rsidTr="00042DD1">
        <w:tc>
          <w:tcPr>
            <w:tcW w:w="9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9122E" w14:textId="6575D7AB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The outcomes assessment 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>OAP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contains a statement of the </w:t>
            </w:r>
            <w:r w:rsidR="00F24D64">
              <w:rPr>
                <w:rFonts w:eastAsia="Times New Roman" w:cs="Calibri"/>
                <w:color w:val="000000"/>
                <w:sz w:val="22"/>
                <w:szCs w:val="22"/>
              </w:rPr>
              <w:t>business unit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’s mission.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B1034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24D64" w:rsidRPr="00F77B13" w14:paraId="7DFE5BB0" w14:textId="77777777" w:rsidTr="00F24D64">
        <w:tc>
          <w:tcPr>
            <w:tcW w:w="9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8246F96" w14:textId="76132B89" w:rsidR="00F24D64" w:rsidRPr="00F24D64" w:rsidRDefault="00F24D64" w:rsidP="00F77B13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24D64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Broad-Based Student Learning Goals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68D9938C" w14:textId="77777777" w:rsidR="00F24D64" w:rsidRPr="00F77B13" w:rsidRDefault="00F24D64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77B13" w:rsidRPr="00F77B13" w14:paraId="58B29F53" w14:textId="77777777" w:rsidTr="00042DD1">
        <w:tc>
          <w:tcPr>
            <w:tcW w:w="9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C8ECE" w14:textId="2080EF2F" w:rsidR="00FF44E4" w:rsidRPr="00F77B13" w:rsidRDefault="00F77B13" w:rsidP="0030244C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The OAP contains a listing of broad-based student learning goals.</w:t>
            </w:r>
            <w:r w:rsidR="0030244C">
              <w:rPr>
                <w:rFonts w:eastAsia="Times New Roman" w:cs="Calibri"/>
                <w:color w:val="000000"/>
                <w:sz w:val="22"/>
                <w:szCs w:val="22"/>
              </w:rPr>
              <w:t xml:space="preserve"> </w:t>
            </w:r>
            <w:r w:rsidR="00FF44E4">
              <w:rPr>
                <w:rFonts w:eastAsia="Times New Roman" w:cs="Calibri"/>
                <w:color w:val="000000"/>
                <w:sz w:val="22"/>
                <w:szCs w:val="22"/>
              </w:rPr>
              <w:t xml:space="preserve">This is one set broad-based goals for </w:t>
            </w:r>
            <w:r w:rsidR="00F24D64">
              <w:rPr>
                <w:rFonts w:eastAsia="Times New Roman" w:cs="Calibri"/>
                <w:color w:val="000000"/>
                <w:sz w:val="22"/>
                <w:szCs w:val="22"/>
              </w:rPr>
              <w:t>all students of the business unit</w:t>
            </w:r>
            <w:r w:rsidR="00FF44E4">
              <w:rPr>
                <w:rFonts w:eastAsia="Times New Roman" w:cs="Calibri"/>
                <w:color w:val="000000"/>
                <w:sz w:val="22"/>
                <w:szCs w:val="22"/>
              </w:rPr>
              <w:t>, encompassing all programs</w:t>
            </w:r>
            <w:r w:rsidR="00F24D64">
              <w:rPr>
                <w:rFonts w:eastAsia="Times New Roma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F35E0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7644ADCC" w14:textId="77777777" w:rsidTr="00042DD1">
        <w:tc>
          <w:tcPr>
            <w:tcW w:w="9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721E5" w14:textId="7FE4FC58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The broad-based student learning goals are stated from the students’ perspective and clearly describe what students </w:t>
            </w:r>
            <w:r w:rsidR="005B7888">
              <w:rPr>
                <w:rFonts w:eastAsia="Times New Roman" w:cs="Calibri"/>
                <w:color w:val="000000"/>
                <w:sz w:val="22"/>
                <w:szCs w:val="22"/>
              </w:rPr>
              <w:t>will be, have achieved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, </w:t>
            </w:r>
            <w:r w:rsidR="00D0015B">
              <w:rPr>
                <w:rFonts w:eastAsia="Times New Roman" w:cs="Calibri"/>
                <w:color w:val="000000"/>
                <w:sz w:val="22"/>
                <w:szCs w:val="22"/>
              </w:rPr>
              <w:t xml:space="preserve">understand, 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or value as a result of completing their programs of study.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C39DD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5B7888" w:rsidRPr="00F77B13" w14:paraId="1B137B99" w14:textId="77777777" w:rsidTr="00042DD1">
        <w:tc>
          <w:tcPr>
            <w:tcW w:w="9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551B" w14:textId="406033BD" w:rsidR="005B7888" w:rsidRPr="00D0015B" w:rsidRDefault="005B7888" w:rsidP="00D0015B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The broad-based student learning goals are not measurable: they are aspirational/visionary statements.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BA41B" w14:textId="77777777" w:rsidR="005B7888" w:rsidRPr="00F77B13" w:rsidRDefault="005B7888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77B13" w:rsidRPr="00F77B13" w14:paraId="1BD74EEC" w14:textId="77777777" w:rsidTr="00042DD1">
        <w:trPr>
          <w:trHeight w:val="600"/>
        </w:trPr>
        <w:tc>
          <w:tcPr>
            <w:tcW w:w="9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C5522" w14:textId="6CEAC35F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Each broad-based student learning goal i</w:t>
            </w:r>
            <w:r w:rsidR="00D0015B">
              <w:rPr>
                <w:rFonts w:eastAsia="Times New Roman" w:cs="Calibri"/>
                <w:color w:val="000000"/>
                <w:sz w:val="22"/>
                <w:szCs w:val="22"/>
              </w:rPr>
              <w:t>s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related</w:t>
            </w:r>
            <w:r w:rsidR="00D0015B">
              <w:rPr>
                <w:rFonts w:eastAsia="Times New Roman" w:cs="Calibri"/>
                <w:color w:val="000000"/>
                <w:sz w:val="22"/>
                <w:szCs w:val="22"/>
              </w:rPr>
              <w:t xml:space="preserve"> or supports 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some aspect of the </w:t>
            </w:r>
            <w:r w:rsidR="00F24D64">
              <w:rPr>
                <w:rFonts w:eastAsia="Times New Roman" w:cs="Calibri"/>
                <w:color w:val="000000"/>
                <w:sz w:val="22"/>
                <w:szCs w:val="22"/>
              </w:rPr>
              <w:t>business unit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’s mission.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AD418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512D8921" w14:textId="77777777" w:rsidTr="00042DD1">
        <w:tc>
          <w:tcPr>
            <w:tcW w:w="9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B8209" w14:textId="18E755D5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Each broad-based student learning goal </w:t>
            </w:r>
            <w:r w:rsidR="00E03AFF">
              <w:rPr>
                <w:rFonts w:eastAsia="Times New Roman" w:cs="Calibri"/>
                <w:color w:val="000000"/>
                <w:sz w:val="22"/>
                <w:szCs w:val="22"/>
              </w:rPr>
              <w:t xml:space="preserve">is </w:t>
            </w:r>
            <w:r w:rsidR="00F661F9">
              <w:rPr>
                <w:rFonts w:eastAsia="Times New Roman" w:cs="Calibri"/>
                <w:color w:val="000000"/>
                <w:sz w:val="22"/>
                <w:szCs w:val="22"/>
              </w:rPr>
              <w:t xml:space="preserve">being fully evaluated and therefore </w:t>
            </w:r>
            <w:r w:rsidR="00E03AFF">
              <w:rPr>
                <w:rFonts w:eastAsia="Times New Roman" w:cs="Calibri"/>
                <w:color w:val="000000"/>
                <w:sz w:val="22"/>
                <w:szCs w:val="22"/>
              </w:rPr>
              <w:t>linked to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at least one </w:t>
            </w:r>
            <w:r w:rsidR="00E03AFF">
              <w:rPr>
                <w:rFonts w:eastAsia="Times New Roman" w:cs="Calibri"/>
                <w:color w:val="000000"/>
                <w:sz w:val="22"/>
                <w:szCs w:val="22"/>
              </w:rPr>
              <w:t>intended student learning outcome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in </w:t>
            </w:r>
            <w:r w:rsidR="00E03AFF">
              <w:rPr>
                <w:rFonts w:eastAsia="Times New Roman" w:cs="Calibri"/>
                <w:color w:val="000000"/>
                <w:sz w:val="22"/>
                <w:szCs w:val="22"/>
              </w:rPr>
              <w:t>each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business program (from Section II: Student Learning Assessment)</w:t>
            </w:r>
            <w:r w:rsidR="00E03AFF">
              <w:rPr>
                <w:rFonts w:eastAsia="Times New Roma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865FE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24D64" w:rsidRPr="00F77B13" w14:paraId="438F1C2C" w14:textId="77777777" w:rsidTr="00F24D64">
        <w:tc>
          <w:tcPr>
            <w:tcW w:w="9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D2A0B57" w14:textId="170BCD96" w:rsidR="00F24D64" w:rsidRPr="00F24D64" w:rsidRDefault="00F24D64" w:rsidP="00F77B13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24D64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Broad-Based Operational Goals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0101F7E1" w14:textId="77777777" w:rsidR="00F24D64" w:rsidRPr="00F24D64" w:rsidRDefault="00F24D64" w:rsidP="00F77B13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7B13" w:rsidRPr="00F77B13" w14:paraId="2A9BBA81" w14:textId="77777777" w:rsidTr="00042DD1">
        <w:tc>
          <w:tcPr>
            <w:tcW w:w="9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2983E" w14:textId="520B678E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The OAP contains a listing of broad-based operational goals for the </w:t>
            </w:r>
            <w:r w:rsidR="00F24D64">
              <w:rPr>
                <w:rFonts w:eastAsia="Times New Roman" w:cs="Calibri"/>
                <w:color w:val="000000"/>
                <w:sz w:val="22"/>
                <w:szCs w:val="22"/>
              </w:rPr>
              <w:t>business unit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779E3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75EB9901" w14:textId="77777777" w:rsidTr="00042DD1">
        <w:tc>
          <w:tcPr>
            <w:tcW w:w="9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B3D1" w14:textId="37005C6B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The broad-based operational goals clearly describe what the </w:t>
            </w:r>
            <w:r w:rsidR="00F24D64">
              <w:rPr>
                <w:rFonts w:eastAsia="Times New Roman" w:cs="Calibri"/>
                <w:color w:val="000000"/>
                <w:sz w:val="22"/>
                <w:szCs w:val="22"/>
              </w:rPr>
              <w:t>business unit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will do, will provide, or intends to accomplish in terms of its overall organizational and functional performance.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5214E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2AB4E180" w14:textId="77777777" w:rsidTr="00042DD1">
        <w:tc>
          <w:tcPr>
            <w:tcW w:w="9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9BC50" w14:textId="5158BC7A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Each broad-based operational goal is directly related, or can be mapped, to some aspect of the </w:t>
            </w:r>
            <w:r w:rsidR="00F24D64">
              <w:rPr>
                <w:rFonts w:eastAsia="Times New Roman" w:cs="Calibri"/>
                <w:color w:val="000000"/>
                <w:sz w:val="22"/>
                <w:szCs w:val="22"/>
              </w:rPr>
              <w:t>business unit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’s mission.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A3A22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605A8AD3" w14:textId="77777777" w:rsidTr="00042DD1">
        <w:trPr>
          <w:trHeight w:val="600"/>
        </w:trPr>
        <w:tc>
          <w:tcPr>
            <w:tcW w:w="9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BB959" w14:textId="32F8F5B8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Each broad-based operational goal </w:t>
            </w:r>
            <w:r w:rsidR="00E03AFF">
              <w:rPr>
                <w:rFonts w:eastAsia="Times New Roman" w:cs="Calibri"/>
                <w:color w:val="000000"/>
                <w:sz w:val="22"/>
                <w:szCs w:val="22"/>
              </w:rPr>
              <w:t xml:space="preserve">is </w:t>
            </w:r>
            <w:r w:rsidR="00A17AD8">
              <w:rPr>
                <w:rFonts w:eastAsia="Times New Roman" w:cs="Calibri"/>
                <w:color w:val="000000"/>
                <w:sz w:val="22"/>
                <w:szCs w:val="22"/>
              </w:rPr>
              <w:t xml:space="preserve">being fully evaluated and therefore </w:t>
            </w:r>
            <w:r w:rsidR="00E03AFF">
              <w:rPr>
                <w:rFonts w:eastAsia="Times New Roman" w:cs="Calibri"/>
                <w:color w:val="000000"/>
                <w:sz w:val="22"/>
                <w:szCs w:val="22"/>
              </w:rPr>
              <w:t>linked to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at least one </w:t>
            </w:r>
            <w:r w:rsidR="00E03AFF">
              <w:rPr>
                <w:rFonts w:eastAsia="Times New Roman" w:cs="Calibri"/>
                <w:color w:val="000000"/>
                <w:sz w:val="22"/>
                <w:szCs w:val="22"/>
              </w:rPr>
              <w:t>intended operational outcome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(from Section III: Operational Assessment)</w:t>
            </w:r>
            <w:r w:rsidR="00A17AD8">
              <w:rPr>
                <w:rFonts w:eastAsia="Times New Roma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280F9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bookmarkEnd w:id="0"/>
    </w:tbl>
    <w:p w14:paraId="456219C5" w14:textId="77777777" w:rsidR="00DF6150" w:rsidRDefault="00DF6150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DF6150" w:rsidRPr="00DF6150" w14:paraId="1B8CDAF8" w14:textId="77777777" w:rsidTr="00DF6150">
        <w:tc>
          <w:tcPr>
            <w:tcW w:w="10975" w:type="dxa"/>
            <w:shd w:val="clear" w:color="auto" w:fill="8EAADB" w:themeFill="accent1" w:themeFillTint="99"/>
          </w:tcPr>
          <w:p w14:paraId="490D3A92" w14:textId="24754518" w:rsidR="00DF6150" w:rsidRPr="00DF6150" w:rsidRDefault="004B36A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Notes</w:t>
            </w:r>
            <w:r w:rsidR="00DF6150" w:rsidRPr="00DF6150">
              <w:rPr>
                <w:b/>
                <w:bCs/>
                <w:sz w:val="22"/>
                <w:szCs w:val="22"/>
              </w:rPr>
              <w:t>/Takeaways/Actions for Section I: Mission and Broad-Based Goals</w:t>
            </w:r>
          </w:p>
        </w:tc>
      </w:tr>
      <w:tr w:rsidR="00DF6150" w14:paraId="273849FB" w14:textId="77777777" w:rsidTr="00DF6150">
        <w:trPr>
          <w:trHeight w:hRule="exact" w:val="2304"/>
        </w:trPr>
        <w:tc>
          <w:tcPr>
            <w:tcW w:w="10975" w:type="dxa"/>
          </w:tcPr>
          <w:p w14:paraId="05B90D1A" w14:textId="34A07F51" w:rsidR="00DF6150" w:rsidRDefault="00DF6150"/>
        </w:tc>
      </w:tr>
    </w:tbl>
    <w:p w14:paraId="751C3D6E" w14:textId="1EB94A3F" w:rsidR="00F77B13" w:rsidRDefault="00F77B13">
      <w:r>
        <w:br w:type="page"/>
      </w:r>
    </w:p>
    <w:p w14:paraId="248E4C32" w14:textId="020DE732" w:rsidR="00F77B13" w:rsidRDefault="00F77B13"/>
    <w:tbl>
      <w:tblPr>
        <w:tblW w:w="10975" w:type="dxa"/>
        <w:tblLook w:val="04A0" w:firstRow="1" w:lastRow="0" w:firstColumn="1" w:lastColumn="0" w:noHBand="0" w:noVBand="1"/>
      </w:tblPr>
      <w:tblGrid>
        <w:gridCol w:w="5215"/>
        <w:gridCol w:w="1440"/>
        <w:gridCol w:w="1440"/>
        <w:gridCol w:w="1440"/>
        <w:gridCol w:w="1440"/>
      </w:tblGrid>
      <w:tr w:rsidR="00F77B13" w:rsidRPr="00F77B13" w14:paraId="2B86BAF9" w14:textId="77777777" w:rsidTr="00F05630">
        <w:trPr>
          <w:trHeight w:val="600"/>
          <w:tblHeader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00FA0A4A" w14:textId="77777777" w:rsidR="00F77B13" w:rsidRPr="00F77B13" w:rsidRDefault="00F77B13" w:rsidP="00F77B13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Section II: Student Learning Assessment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noWrap/>
            <w:vAlign w:val="center"/>
            <w:hideMark/>
          </w:tcPr>
          <w:p w14:paraId="136974AE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Program 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noWrap/>
            <w:vAlign w:val="center"/>
            <w:hideMark/>
          </w:tcPr>
          <w:p w14:paraId="4FADE8BD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Program 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noWrap/>
            <w:vAlign w:val="center"/>
            <w:hideMark/>
          </w:tcPr>
          <w:p w14:paraId="5DC68279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Program 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noWrap/>
            <w:vAlign w:val="center"/>
            <w:hideMark/>
          </w:tcPr>
          <w:p w14:paraId="23883C04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Program 4</w:t>
            </w:r>
          </w:p>
        </w:tc>
      </w:tr>
      <w:tr w:rsidR="009705BF" w:rsidRPr="00F77B13" w14:paraId="166C64CD" w14:textId="77777777" w:rsidTr="00F05630">
        <w:trPr>
          <w:trHeight w:val="288"/>
        </w:trPr>
        <w:tc>
          <w:tcPr>
            <w:tcW w:w="109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6F23F20" w14:textId="40ACE382" w:rsidR="009705BF" w:rsidRPr="009705BF" w:rsidRDefault="009705BF" w:rsidP="00F77B13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9705BF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Program ISLOs</w:t>
            </w:r>
          </w:p>
        </w:tc>
      </w:tr>
      <w:tr w:rsidR="00F77B13" w:rsidRPr="00F77B13" w14:paraId="1C9904BF" w14:textId="77777777" w:rsidTr="00F05630">
        <w:trPr>
          <w:trHeight w:val="600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FA969" w14:textId="0A75E7F5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The OAP articulates </w:t>
            </w:r>
            <w:r w:rsidR="00DF6150">
              <w:rPr>
                <w:rFonts w:eastAsia="Times New Roman" w:cs="Calibri"/>
                <w:color w:val="000000"/>
                <w:sz w:val="22"/>
                <w:szCs w:val="22"/>
              </w:rPr>
              <w:t>Intended Student Learning outcomes</w:t>
            </w:r>
            <w:r w:rsidR="005061F2">
              <w:rPr>
                <w:rFonts w:eastAsia="Times New Roman" w:cs="Calibri"/>
                <w:color w:val="000000"/>
                <w:sz w:val="22"/>
                <w:szCs w:val="22"/>
              </w:rPr>
              <w:t xml:space="preserve"> (ISLOs)</w:t>
            </w:r>
            <w:r w:rsidR="00DF6150">
              <w:rPr>
                <w:rFonts w:eastAsia="Times New Roma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321DF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7441A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C55FD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B9BC2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0F38EF93" w14:textId="77777777" w:rsidTr="00F05630">
        <w:trPr>
          <w:trHeight w:val="900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61E09" w14:textId="18BEB7E5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bookmarkStart w:id="1" w:name="_Hlk43894811"/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For each </w:t>
            </w:r>
            <w:r w:rsidR="008C2C37">
              <w:rPr>
                <w:rFonts w:eastAsia="Times New Roman" w:cs="Calibri"/>
                <w:color w:val="000000"/>
                <w:sz w:val="22"/>
                <w:szCs w:val="22"/>
              </w:rPr>
              <w:t>ISLO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, the OAP identifies </w:t>
            </w:r>
            <w:r w:rsidR="00B066A5">
              <w:rPr>
                <w:rFonts w:eastAsia="Times New Roman" w:cs="Calibri"/>
                <w:color w:val="000000"/>
                <w:sz w:val="22"/>
                <w:szCs w:val="22"/>
              </w:rPr>
              <w:t>each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broad-based student learning goals </w:t>
            </w:r>
            <w:r w:rsidR="00D0015B">
              <w:rPr>
                <w:rFonts w:eastAsia="Times New Roman" w:cs="Calibri"/>
                <w:color w:val="000000"/>
                <w:sz w:val="22"/>
                <w:szCs w:val="22"/>
              </w:rPr>
              <w:t>that the outcomes supports.</w:t>
            </w:r>
            <w:r w:rsidR="00B066A5">
              <w:rPr>
                <w:rFonts w:eastAsia="Times New Roman" w:cs="Calibri"/>
                <w:color w:val="000000"/>
                <w:sz w:val="22"/>
                <w:szCs w:val="22"/>
              </w:rPr>
              <w:t xml:space="preserve"> (may be more than one)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AF584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9B646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275DE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0A8B4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bookmarkEnd w:id="1"/>
      <w:tr w:rsidR="00F77B13" w:rsidRPr="00F77B13" w14:paraId="2FBB6548" w14:textId="77777777" w:rsidTr="00F05630">
        <w:trPr>
          <w:trHeight w:val="900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B89FC" w14:textId="28B32C20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For each </w:t>
            </w:r>
            <w:r w:rsidR="008C2C37">
              <w:rPr>
                <w:rFonts w:eastAsia="Times New Roman" w:cs="Calibri"/>
                <w:color w:val="000000"/>
                <w:sz w:val="22"/>
                <w:szCs w:val="22"/>
              </w:rPr>
              <w:t>ISLO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, the OAP identifies each "IACBE Key Learning Outcomes" to which that outcome is linked. (may be more than one)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94922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78D37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17E87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FCB26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2A2D217D" w14:textId="77777777" w:rsidTr="00F05630">
        <w:trPr>
          <w:trHeight w:val="600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9476F" w14:textId="1E03C455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The </w:t>
            </w:r>
            <w:r w:rsidR="008C2C37">
              <w:rPr>
                <w:rFonts w:eastAsia="Times New Roman" w:cs="Calibri"/>
                <w:color w:val="000000"/>
                <w:sz w:val="22"/>
                <w:szCs w:val="22"/>
              </w:rPr>
              <w:t>ISLOs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for each program substantially encompass the</w:t>
            </w:r>
            <w:r w:rsidR="005061F2">
              <w:rPr>
                <w:rFonts w:eastAsia="Times New Roman" w:cs="Calibri"/>
                <w:color w:val="000000"/>
                <w:sz w:val="22"/>
                <w:szCs w:val="22"/>
              </w:rPr>
              <w:t xml:space="preserve"> current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"IACBE Key Learning Outcomes"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643B8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0ADE2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B67E2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D0618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4F9B9B1D" w14:textId="77777777" w:rsidTr="00F05630">
        <w:trPr>
          <w:trHeight w:val="1200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A90AE" w14:textId="4FEB99DB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The </w:t>
            </w:r>
            <w:r w:rsidR="008C2C37">
              <w:rPr>
                <w:rFonts w:eastAsia="Times New Roman" w:cs="Calibri"/>
                <w:color w:val="000000"/>
                <w:sz w:val="22"/>
                <w:szCs w:val="22"/>
              </w:rPr>
              <w:t>ISLOs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are program-level outcomes, not course-level outcomes (i.e., they clearly describe what students are expected to know and be able to do at the conclusion of the program, not at the end of a course)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D15A4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3F16B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18299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BCA33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6B7CBC91" w14:textId="77777777" w:rsidTr="00F05630">
        <w:trPr>
          <w:trHeight w:val="900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A8559" w14:textId="22D55C98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The </w:t>
            </w:r>
            <w:r w:rsidR="008C2C37">
              <w:rPr>
                <w:rFonts w:eastAsia="Times New Roman" w:cs="Calibri"/>
                <w:color w:val="000000"/>
                <w:sz w:val="22"/>
                <w:szCs w:val="22"/>
              </w:rPr>
              <w:t>ISLOs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are appropriate to the </w:t>
            </w:r>
            <w:r w:rsidR="00E52703">
              <w:rPr>
                <w:rFonts w:eastAsia="Times New Roman" w:cs="Calibri"/>
                <w:color w:val="000000"/>
                <w:sz w:val="22"/>
                <w:szCs w:val="22"/>
              </w:rPr>
              <w:t>degree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level of the program (the knowledge, skills, and competencies are appropriate for </w:t>
            </w:r>
            <w:r w:rsidR="00807DC7">
              <w:rPr>
                <w:rFonts w:eastAsia="Times New Roman" w:cs="Calibri"/>
                <w:color w:val="000000"/>
                <w:sz w:val="22"/>
                <w:szCs w:val="22"/>
              </w:rPr>
              <w:t>the program’s degree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level</w:t>
            </w:r>
            <w:r w:rsidR="00E52703">
              <w:rPr>
                <w:rFonts w:eastAsia="Times New Roman" w:cs="Calibri"/>
                <w:color w:val="000000"/>
                <w:sz w:val="22"/>
                <w:szCs w:val="22"/>
              </w:rPr>
              <w:t xml:space="preserve"> - e.g. Bloom’s </w:t>
            </w:r>
            <w:r w:rsidR="00201867">
              <w:rPr>
                <w:rFonts w:eastAsia="Times New Roman" w:cs="Calibri"/>
                <w:color w:val="000000"/>
                <w:sz w:val="22"/>
                <w:szCs w:val="22"/>
              </w:rPr>
              <w:t>T</w:t>
            </w:r>
            <w:r w:rsidR="00E52703">
              <w:rPr>
                <w:rFonts w:eastAsia="Times New Roman" w:cs="Calibri"/>
                <w:color w:val="000000"/>
                <w:sz w:val="22"/>
                <w:szCs w:val="22"/>
              </w:rPr>
              <w:t>axonomy)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A6AB2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BED74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15D38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224B4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E52703" w:rsidRPr="00F77B13" w14:paraId="26DD6927" w14:textId="77777777" w:rsidTr="00E52703">
        <w:trPr>
          <w:trHeight w:val="900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2054" w14:textId="77777777" w:rsidR="00E52703" w:rsidRPr="00F77B13" w:rsidRDefault="00E52703" w:rsidP="00171DF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The 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>ISLOs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are stated using active verbs (e.g., Bloom’s Taxonomy of Educational Objectives).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5F561" w14:textId="77777777" w:rsidR="00E52703" w:rsidRPr="00F77B13" w:rsidRDefault="00E52703" w:rsidP="00171DF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3734A" w14:textId="77777777" w:rsidR="00E52703" w:rsidRPr="00F77B13" w:rsidRDefault="00E52703" w:rsidP="00171DF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AAAAF" w14:textId="77777777" w:rsidR="00E52703" w:rsidRPr="00F77B13" w:rsidRDefault="00E52703" w:rsidP="00171DF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2DC62" w14:textId="77777777" w:rsidR="00E52703" w:rsidRPr="00F77B13" w:rsidRDefault="00E52703" w:rsidP="00171DF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201867" w:rsidRPr="00F77B13" w14:paraId="05EE4654" w14:textId="77777777" w:rsidTr="00201867">
        <w:trPr>
          <w:trHeight w:val="900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8E5B1" w14:textId="77777777" w:rsidR="00891DAA" w:rsidRDefault="00201867" w:rsidP="00171DF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Each ISLO </w:t>
            </w:r>
            <w:r w:rsidR="00891DAA">
              <w:rPr>
                <w:rFonts w:eastAsia="Times New Roman" w:cs="Calibri"/>
                <w:color w:val="000000"/>
                <w:sz w:val="22"/>
                <w:szCs w:val="22"/>
              </w:rPr>
              <w:t>is a statement of a single intended outcome.</w:t>
            </w:r>
          </w:p>
          <w:p w14:paraId="665D22A1" w14:textId="7AD7E53C" w:rsidR="00201867" w:rsidRPr="00F77B13" w:rsidRDefault="00891DAA" w:rsidP="00171DF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ab/>
              <w:t xml:space="preserve">i.e. </w:t>
            </w:r>
            <w:r w:rsidR="00201867">
              <w:rPr>
                <w:rFonts w:eastAsia="Times New Roman" w:cs="Calibri"/>
                <w:color w:val="000000"/>
                <w:sz w:val="22"/>
                <w:szCs w:val="22"/>
              </w:rPr>
              <w:t>includes only one action verb (e.g. “evaluate” not “identify and evaluate”)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667E3" w14:textId="77777777" w:rsidR="00201867" w:rsidRPr="00F77B13" w:rsidRDefault="00201867" w:rsidP="00171DF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C2A6E" w14:textId="77777777" w:rsidR="00201867" w:rsidRPr="00F77B13" w:rsidRDefault="00201867" w:rsidP="00171DF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4BC4B" w14:textId="77777777" w:rsidR="00201867" w:rsidRPr="00F77B13" w:rsidRDefault="00201867" w:rsidP="00171DF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84650" w14:textId="77777777" w:rsidR="00201867" w:rsidRPr="00F77B13" w:rsidRDefault="00201867" w:rsidP="00171DF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201867" w:rsidRPr="00F77B13" w14:paraId="0747BE6D" w14:textId="77777777" w:rsidTr="00201867">
        <w:trPr>
          <w:trHeight w:val="900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61D2" w14:textId="297038AF" w:rsidR="00201867" w:rsidRDefault="00201867" w:rsidP="00171DF8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Each ISLO clearly states what skill, knowledge, or competency the students will demonstrate</w:t>
            </w:r>
            <w:r w:rsidR="00891DAA">
              <w:rPr>
                <w:rFonts w:eastAsia="Times New Roman" w:cs="Calibri"/>
                <w:color w:val="000000"/>
                <w:sz w:val="22"/>
                <w:szCs w:val="22"/>
              </w:rPr>
              <w:t xml:space="preserve">/exhibit </w:t>
            </w:r>
            <w:r w:rsidR="007F7028">
              <w:rPr>
                <w:rFonts w:eastAsia="Times New Roman" w:cs="Calibri"/>
                <w:color w:val="000000"/>
                <w:sz w:val="22"/>
                <w:szCs w:val="22"/>
              </w:rPr>
              <w:t>to evidence achievement of the ISLO.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4A60F" w14:textId="77777777" w:rsidR="00201867" w:rsidRPr="00F77B13" w:rsidRDefault="00201867" w:rsidP="00171DF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34F16" w14:textId="77777777" w:rsidR="00201867" w:rsidRPr="00F77B13" w:rsidRDefault="00201867" w:rsidP="00171DF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DDD54" w14:textId="77777777" w:rsidR="00201867" w:rsidRPr="00F77B13" w:rsidRDefault="00201867" w:rsidP="00171DF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0AD5D" w14:textId="77777777" w:rsidR="00201867" w:rsidRPr="00F77B13" w:rsidRDefault="00201867" w:rsidP="00171DF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C36300" w:rsidRPr="00F77B13" w14:paraId="75B3E754" w14:textId="77777777" w:rsidTr="00E52703">
        <w:trPr>
          <w:trHeight w:val="432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59AA4" w14:textId="644886A7" w:rsidR="00C36300" w:rsidRPr="00F77B13" w:rsidRDefault="00C36300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The ISLOs are not statements regarding completion of a work product, project, assignment.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A4617" w14:textId="77777777" w:rsidR="00C36300" w:rsidRPr="00F77B13" w:rsidRDefault="00C36300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FC941" w14:textId="77777777" w:rsidR="00C36300" w:rsidRPr="00F77B13" w:rsidRDefault="00C36300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8A7D8" w14:textId="77777777" w:rsidR="00C36300" w:rsidRPr="00F77B13" w:rsidRDefault="00C36300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BCC27" w14:textId="77777777" w:rsidR="00C36300" w:rsidRPr="00F77B13" w:rsidRDefault="00C36300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77B13" w:rsidRPr="00F77B13" w14:paraId="6B96182A" w14:textId="77777777" w:rsidTr="00E52703">
        <w:trPr>
          <w:trHeight w:val="432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549D3" w14:textId="7F0EB199" w:rsidR="00E5270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The </w:t>
            </w:r>
            <w:r w:rsidR="008C2C37">
              <w:rPr>
                <w:rFonts w:eastAsia="Times New Roman" w:cs="Calibri"/>
                <w:color w:val="000000"/>
                <w:sz w:val="22"/>
                <w:szCs w:val="22"/>
              </w:rPr>
              <w:t>ISLOs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are measurable.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E1AB7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3AA03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DEC2A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9CE24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7F7028" w:rsidRPr="00F77B13" w14:paraId="77589786" w14:textId="77777777" w:rsidTr="00E52703">
        <w:trPr>
          <w:trHeight w:val="432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9F38" w14:textId="056C0D7E" w:rsidR="007F7028" w:rsidRPr="00F77B13" w:rsidRDefault="007F7028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The ISLOs are statements of what every student will be evaluated on (every student will </w:t>
            </w:r>
            <w:r w:rsidR="009226DC">
              <w:rPr>
                <w:rFonts w:eastAsia="Times New Roman" w:cs="Calibri"/>
                <w:color w:val="000000"/>
                <w:sz w:val="22"/>
                <w:szCs w:val="22"/>
              </w:rPr>
              <w:t>be individually evaluated on achievement of every ISLO)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9EA54" w14:textId="77777777" w:rsidR="007F7028" w:rsidRPr="00F77B13" w:rsidRDefault="007F7028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F8130" w14:textId="77777777" w:rsidR="007F7028" w:rsidRPr="00F77B13" w:rsidRDefault="007F7028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C0520" w14:textId="77777777" w:rsidR="007F7028" w:rsidRPr="00F77B13" w:rsidRDefault="007F7028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D6BAD" w14:textId="77777777" w:rsidR="007F7028" w:rsidRPr="00F77B13" w:rsidRDefault="007F7028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9705BF" w:rsidRPr="00F77B13" w14:paraId="5522E2B8" w14:textId="77777777" w:rsidTr="00F05630">
        <w:trPr>
          <w:trHeight w:val="300"/>
        </w:trPr>
        <w:tc>
          <w:tcPr>
            <w:tcW w:w="109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3A752DE" w14:textId="3590F334" w:rsidR="009705BF" w:rsidRPr="009705BF" w:rsidRDefault="009705BF" w:rsidP="00F77B13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9705BF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 xml:space="preserve">Assessment </w:t>
            </w:r>
            <w:r w:rsidR="00EB55F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Measures/Instruments</w:t>
            </w:r>
          </w:p>
        </w:tc>
      </w:tr>
      <w:tr w:rsidR="00F77B13" w:rsidRPr="00F77B13" w14:paraId="4EFD384B" w14:textId="77777777" w:rsidTr="00F05630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9E5C9" w14:textId="2258AAD1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bookmarkStart w:id="2" w:name="RANGE!A29"/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Each </w:t>
            </w:r>
            <w:r w:rsidR="008C2C37">
              <w:rPr>
                <w:rFonts w:eastAsia="Times New Roman" w:cs="Calibri"/>
                <w:color w:val="000000"/>
                <w:sz w:val="22"/>
                <w:szCs w:val="22"/>
              </w:rPr>
              <w:t>ISLO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is </w:t>
            </w:r>
            <w:r w:rsidR="00F40965">
              <w:rPr>
                <w:rFonts w:eastAsia="Times New Roman" w:cs="Calibri"/>
                <w:color w:val="000000"/>
                <w:sz w:val="22"/>
                <w:szCs w:val="22"/>
              </w:rPr>
              <w:t>evaluated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at least twice</w:t>
            </w:r>
            <w:bookmarkEnd w:id="2"/>
            <w:r w:rsidR="005D7121">
              <w:rPr>
                <w:rFonts w:eastAsia="Times New Roman" w:cs="Calibri"/>
                <w:color w:val="000000"/>
                <w:sz w:val="22"/>
                <w:szCs w:val="22"/>
              </w:rPr>
              <w:t xml:space="preserve"> (evaluated by two different assessment measures)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14AD3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075C5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2B672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E0FE1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1976B120" w14:textId="77777777" w:rsidTr="00F05630">
        <w:trPr>
          <w:trHeight w:val="600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5863C" w14:textId="65FE4175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Each </w:t>
            </w:r>
            <w:r w:rsidR="008C2C37">
              <w:rPr>
                <w:rFonts w:eastAsia="Times New Roman" w:cs="Calibri"/>
                <w:color w:val="000000"/>
                <w:sz w:val="22"/>
                <w:szCs w:val="22"/>
              </w:rPr>
              <w:t>ISLO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is measured at least once with a direct measure of student learning.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BA8B4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3D35D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065B0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9CEAE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27209991" w14:textId="77777777" w:rsidTr="00F05630">
        <w:trPr>
          <w:trHeight w:val="600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68D2E" w14:textId="77777777" w:rsidR="00D436C4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The assessment instruments are program-level assessments, not course-level assessments</w:t>
            </w:r>
          </w:p>
          <w:p w14:paraId="7975CD72" w14:textId="3EA483AF" w:rsidR="00F77B13" w:rsidRPr="00F77B13" w:rsidRDefault="00D436C4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ab/>
            </w:r>
            <w:r w:rsidR="00F77B13" w:rsidRPr="00F77B13">
              <w:rPr>
                <w:rFonts w:eastAsia="Times New Roman" w:cs="Calibri"/>
                <w:color w:val="000000"/>
                <w:sz w:val="22"/>
                <w:szCs w:val="22"/>
              </w:rPr>
              <w:t>i.e. individual course exams or activities are not used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790CA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A7152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A2BC1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D8A91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AD1C48" w:rsidRPr="00F77B13" w14:paraId="00FE0C29" w14:textId="77777777" w:rsidTr="002309E2"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B7D9" w14:textId="3B561632" w:rsidR="00AD1C48" w:rsidRPr="002B0F76" w:rsidRDefault="00AD1C48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lastRenderedPageBreak/>
              <w:t>Assessment measures are terminal evaluation tools – administered at the end of the program.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1020F" w14:textId="77777777" w:rsidR="00AD1C48" w:rsidRPr="00F77B13" w:rsidRDefault="00AD1C48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8C799" w14:textId="77777777" w:rsidR="00AD1C48" w:rsidRPr="00F77B13" w:rsidRDefault="00AD1C48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E23BC" w14:textId="77777777" w:rsidR="00AD1C48" w:rsidRPr="00F77B13" w:rsidRDefault="00AD1C48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D8D2E" w14:textId="77777777" w:rsidR="00AD1C48" w:rsidRPr="00F77B13" w:rsidRDefault="00AD1C48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2B0F76" w:rsidRPr="00F77B13" w14:paraId="59F312A5" w14:textId="77777777" w:rsidTr="002309E2"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DDD9B" w14:textId="6D3BD57D" w:rsidR="002B0F76" w:rsidRPr="00F77B13" w:rsidRDefault="002B0F76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2B0F76">
              <w:rPr>
                <w:rFonts w:eastAsia="Times New Roman" w:cs="Calibri"/>
                <w:color w:val="000000"/>
                <w:sz w:val="22"/>
                <w:szCs w:val="22"/>
              </w:rPr>
              <w:t xml:space="preserve">Each assessment instrument is designed to ensure every student 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is </w:t>
            </w:r>
            <w:r w:rsidRPr="002B0F76">
              <w:rPr>
                <w:rFonts w:eastAsia="Times New Roman" w:cs="Calibri"/>
                <w:color w:val="000000"/>
                <w:sz w:val="22"/>
                <w:szCs w:val="22"/>
              </w:rPr>
              <w:t>individually demonstrat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>ing the level of</w:t>
            </w:r>
            <w:r w:rsidRPr="002B0F76">
              <w:rPr>
                <w:rFonts w:eastAsia="Times New Roman" w:cs="Calibri"/>
                <w:color w:val="000000"/>
                <w:sz w:val="22"/>
                <w:szCs w:val="22"/>
              </w:rPr>
              <w:t xml:space="preserve"> achievement of each ISLO that the instrument assesses.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B6132" w14:textId="77777777" w:rsidR="002B0F76" w:rsidRPr="00F77B13" w:rsidRDefault="002B0F76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C857E" w14:textId="77777777" w:rsidR="002B0F76" w:rsidRPr="00F77B13" w:rsidRDefault="002B0F76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A13CF" w14:textId="77777777" w:rsidR="002B0F76" w:rsidRPr="00F77B13" w:rsidRDefault="002B0F76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6A84B" w14:textId="77777777" w:rsidR="002B0F76" w:rsidRPr="00F77B13" w:rsidRDefault="002B0F76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77B13" w:rsidRPr="00F77B13" w14:paraId="78B87678" w14:textId="77777777" w:rsidTr="002309E2"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1A28" w14:textId="42281AD0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For each assessment instrument, the OAP identifies the </w:t>
            </w:r>
            <w:r w:rsidR="008C2C37">
              <w:rPr>
                <w:rFonts w:eastAsia="Times New Roman" w:cs="Calibri"/>
                <w:color w:val="000000"/>
                <w:sz w:val="22"/>
                <w:szCs w:val="22"/>
              </w:rPr>
              <w:t>ISLO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(s) assessed by that measure.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83924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4CDEE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CF19D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DD8D2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716B4C5D" w14:textId="77777777" w:rsidTr="00F05630">
        <w:trPr>
          <w:trHeight w:val="1500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C5528" w14:textId="77777777" w:rsidR="0097258B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All direct measures of student learning directly evaluate </w:t>
            </w:r>
            <w:r w:rsidR="006D3E0C">
              <w:rPr>
                <w:rFonts w:eastAsia="Times New Roman" w:cs="Calibri"/>
                <w:color w:val="000000"/>
                <w:sz w:val="22"/>
                <w:szCs w:val="22"/>
              </w:rPr>
              <w:t xml:space="preserve">the level of </w:t>
            </w:r>
            <w:r w:rsidR="00515F2F">
              <w:rPr>
                <w:rFonts w:eastAsia="Times New Roman" w:cs="Calibri"/>
                <w:color w:val="000000"/>
                <w:sz w:val="22"/>
                <w:szCs w:val="22"/>
              </w:rPr>
              <w:t xml:space="preserve">individual 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student achievement of the </w:t>
            </w:r>
            <w:r w:rsidR="008C2C37">
              <w:rPr>
                <w:rFonts w:eastAsia="Times New Roman" w:cs="Calibri"/>
                <w:color w:val="000000"/>
                <w:sz w:val="22"/>
                <w:szCs w:val="22"/>
              </w:rPr>
              <w:t>ISLOs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that they are designed to assess</w:t>
            </w:r>
          </w:p>
          <w:p w14:paraId="57A5D7FF" w14:textId="06E68165" w:rsidR="00F77B13" w:rsidRPr="00F77B13" w:rsidRDefault="0097258B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ab/>
            </w:r>
            <w:r w:rsidR="00F77B13"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i.e. they contain required components - questions, demonstrations, etc. - that are directly </w:t>
            </w:r>
            <w:r w:rsidR="00081373">
              <w:rPr>
                <w:rFonts w:eastAsia="Times New Roman" w:cs="Calibri"/>
                <w:color w:val="000000"/>
                <w:sz w:val="22"/>
                <w:szCs w:val="22"/>
              </w:rPr>
              <w:t>evaluating</w:t>
            </w:r>
            <w:r w:rsidR="00F77B13"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the </w:t>
            </w:r>
            <w:r w:rsidR="008C2C37">
              <w:rPr>
                <w:rFonts w:eastAsia="Times New Roman" w:cs="Calibri"/>
                <w:color w:val="000000"/>
                <w:sz w:val="22"/>
                <w:szCs w:val="22"/>
              </w:rPr>
              <w:t>ISLO</w:t>
            </w:r>
            <w:r w:rsidR="00F77B13" w:rsidRPr="00F77B13">
              <w:rPr>
                <w:rFonts w:eastAsia="Times New Roman" w:cs="Calibri"/>
                <w:color w:val="000000"/>
                <w:sz w:val="22"/>
                <w:szCs w:val="22"/>
              </w:rPr>
              <w:t>(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s)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C3BF7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51C8A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4C19C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45198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6C7600FD" w14:textId="77777777" w:rsidTr="00F05630">
        <w:trPr>
          <w:trHeight w:val="557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D8924" w14:textId="647700C5" w:rsidR="00F77B13" w:rsidRPr="00F77B13" w:rsidRDefault="00D436C4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For </w:t>
            </w:r>
            <w:r w:rsidR="00F77B13" w:rsidRPr="00F77B13">
              <w:rPr>
                <w:rFonts w:eastAsia="Times New Roman" w:cs="Calibri"/>
                <w:color w:val="000000"/>
                <w:sz w:val="22"/>
                <w:szCs w:val="22"/>
              </w:rPr>
              <w:t>case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>s</w:t>
            </w:r>
            <w:r w:rsidR="00F77B13"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>other than</w:t>
            </w:r>
            <w:r w:rsidR="00F77B13"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comprehensive examinations, the direct measures of student learning in each program </w:t>
            </w:r>
            <w:r w:rsidR="00EB55F3">
              <w:rPr>
                <w:rFonts w:eastAsia="Times New Roman" w:cs="Calibri"/>
                <w:color w:val="000000"/>
                <w:sz w:val="22"/>
                <w:szCs w:val="22"/>
              </w:rPr>
              <w:t>have accompanying</w:t>
            </w:r>
            <w:r w:rsidR="00F77B13"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evaluation rubrics </w:t>
            </w:r>
            <w:r w:rsidR="00EB55F3">
              <w:rPr>
                <w:rFonts w:eastAsia="Times New Roman" w:cs="Calibri"/>
                <w:color w:val="000000"/>
                <w:sz w:val="22"/>
                <w:szCs w:val="22"/>
              </w:rPr>
              <w:t>with</w:t>
            </w:r>
            <w:r w:rsidR="00F77B13"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performance criteria that are </w:t>
            </w:r>
            <w:r w:rsidR="00792C01">
              <w:rPr>
                <w:rFonts w:eastAsia="Times New Roman" w:cs="Calibri"/>
                <w:color w:val="000000"/>
                <w:sz w:val="22"/>
                <w:szCs w:val="22"/>
              </w:rPr>
              <w:t>di</w:t>
            </w:r>
            <w:r w:rsidR="00F77B13"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rectly and explicitly tied to </w:t>
            </w:r>
            <w:r w:rsidR="0097258B">
              <w:rPr>
                <w:rFonts w:eastAsia="Times New Roman" w:cs="Calibri"/>
                <w:color w:val="000000"/>
                <w:sz w:val="22"/>
                <w:szCs w:val="22"/>
              </w:rPr>
              <w:t>evaluation of the</w:t>
            </w:r>
            <w:r w:rsidR="00F77B13"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</w:t>
            </w:r>
            <w:r w:rsidR="008C2C37">
              <w:rPr>
                <w:rFonts w:eastAsia="Times New Roman" w:cs="Calibri"/>
                <w:color w:val="000000"/>
                <w:sz w:val="22"/>
                <w:szCs w:val="22"/>
              </w:rPr>
              <w:t>ISLO</w:t>
            </w:r>
            <w:r w:rsidR="00F77B13"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</w:t>
            </w:r>
            <w:r w:rsidR="0097258B">
              <w:rPr>
                <w:rFonts w:eastAsia="Times New Roman" w:cs="Calibri"/>
                <w:color w:val="000000"/>
                <w:sz w:val="22"/>
                <w:szCs w:val="22"/>
              </w:rPr>
              <w:t xml:space="preserve">being </w:t>
            </w:r>
            <w:r w:rsidR="00F77B13" w:rsidRPr="00F77B13">
              <w:rPr>
                <w:rFonts w:eastAsia="Times New Roman" w:cs="Calibri"/>
                <w:color w:val="000000"/>
                <w:sz w:val="22"/>
                <w:szCs w:val="22"/>
              </w:rPr>
              <w:t>assessed</w:t>
            </w:r>
            <w:r w:rsidR="0097258B">
              <w:rPr>
                <w:rFonts w:eastAsia="Times New Roma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2FF92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3678B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821BA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2BB6E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683F84B4" w14:textId="77777777" w:rsidTr="00F05630">
        <w:trPr>
          <w:trHeight w:val="1200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0D13D" w14:textId="65DD0596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In the case of</w:t>
            </w:r>
            <w:r w:rsidR="0097258B">
              <w:rPr>
                <w:rFonts w:eastAsia="Times New Roman" w:cs="Calibri"/>
                <w:color w:val="000000"/>
                <w:sz w:val="22"/>
                <w:szCs w:val="22"/>
              </w:rPr>
              <w:t xml:space="preserve"> 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comprehensive examinations, the exams contain subsets of questions that are directly and explicitly tied to </w:t>
            </w:r>
            <w:r w:rsidR="0097258B">
              <w:rPr>
                <w:rFonts w:eastAsia="Times New Roman" w:cs="Calibri"/>
                <w:color w:val="000000"/>
                <w:sz w:val="22"/>
                <w:szCs w:val="22"/>
              </w:rPr>
              <w:t xml:space="preserve">evaluation of 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the </w:t>
            </w:r>
            <w:r w:rsidR="0097258B">
              <w:rPr>
                <w:rFonts w:eastAsia="Times New Roman" w:cs="Calibri"/>
                <w:color w:val="000000"/>
                <w:sz w:val="22"/>
                <w:szCs w:val="22"/>
              </w:rPr>
              <w:t>ISLO being assessed.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7D738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852D0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DDCBE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A1D12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351AE40C" w14:textId="77777777" w:rsidTr="00F05630">
        <w:trPr>
          <w:trHeight w:val="900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2D277" w14:textId="00BF573C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All indirect measures of student learning contain items, questions, or components that are directly and explicitly tied to </w:t>
            </w:r>
            <w:r w:rsidR="0093696D">
              <w:rPr>
                <w:rFonts w:eastAsia="Times New Roman" w:cs="Calibri"/>
                <w:color w:val="000000"/>
                <w:sz w:val="22"/>
                <w:szCs w:val="22"/>
              </w:rPr>
              <w:t xml:space="preserve">evaluating </w:t>
            </w:r>
            <w:r w:rsidR="002B0F76">
              <w:rPr>
                <w:rFonts w:eastAsia="Times New Roman" w:cs="Calibri"/>
                <w:color w:val="000000"/>
                <w:sz w:val="22"/>
                <w:szCs w:val="22"/>
              </w:rPr>
              <w:t xml:space="preserve">individual student achievement of </w:t>
            </w:r>
            <w:r w:rsidR="00792C01">
              <w:rPr>
                <w:rFonts w:eastAsia="Times New Roman" w:cs="Calibri"/>
                <w:color w:val="000000"/>
                <w:sz w:val="22"/>
                <w:szCs w:val="22"/>
              </w:rPr>
              <w:t>each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</w:t>
            </w:r>
            <w:r w:rsidR="008C2C37">
              <w:rPr>
                <w:rFonts w:eastAsia="Times New Roman" w:cs="Calibri"/>
                <w:color w:val="000000"/>
                <w:sz w:val="22"/>
                <w:szCs w:val="22"/>
              </w:rPr>
              <w:t>ISLO</w:t>
            </w:r>
            <w:r w:rsidR="00792C01">
              <w:rPr>
                <w:rFonts w:eastAsia="Times New Roman" w:cs="Calibri"/>
                <w:color w:val="000000"/>
                <w:sz w:val="22"/>
                <w:szCs w:val="22"/>
              </w:rPr>
              <w:t xml:space="preserve"> a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ssessed by the measure.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120B5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094CC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9362A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FE438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EB55F3" w:rsidRPr="00F77B13" w14:paraId="63C4445D" w14:textId="77777777" w:rsidTr="00F05630">
        <w:trPr>
          <w:trHeight w:val="288"/>
        </w:trPr>
        <w:tc>
          <w:tcPr>
            <w:tcW w:w="109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70B3384" w14:textId="7CB1E57A" w:rsidR="00EB55F3" w:rsidRPr="00EB55F3" w:rsidRDefault="00EB55F3" w:rsidP="00F77B13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EB55F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Performance Objectives (</w:t>
            </w:r>
            <w:r w:rsidR="00E55004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t</w:t>
            </w:r>
            <w:r w:rsidRPr="00EB55F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argets)</w:t>
            </w:r>
          </w:p>
        </w:tc>
      </w:tr>
      <w:tr w:rsidR="00F77B13" w:rsidRPr="00F77B13" w14:paraId="47765FD0" w14:textId="77777777" w:rsidTr="00F05630">
        <w:trPr>
          <w:trHeight w:val="1200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B769A" w14:textId="4AD0EA19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For each </w:t>
            </w:r>
            <w:r w:rsidR="00EB55F3">
              <w:rPr>
                <w:rFonts w:eastAsia="Times New Roman" w:cs="Calibri"/>
                <w:color w:val="000000"/>
                <w:sz w:val="22"/>
                <w:szCs w:val="22"/>
              </w:rPr>
              <w:t>assessment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measure, the OAP specifies the performance objectives (measurable targets/criteria</w:t>
            </w:r>
            <w:r w:rsidR="0093696D">
              <w:rPr>
                <w:rFonts w:eastAsia="Times New Roman" w:cs="Calibri"/>
                <w:color w:val="000000"/>
                <w:sz w:val="22"/>
                <w:szCs w:val="22"/>
              </w:rPr>
              <w:t>/benchmarks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) that will be used to determine the extent of student achievement</w:t>
            </w:r>
            <w:r w:rsidR="0093696D">
              <w:rPr>
                <w:rFonts w:eastAsia="Times New Roman" w:cs="Calibri"/>
                <w:color w:val="000000"/>
                <w:sz w:val="22"/>
                <w:szCs w:val="22"/>
              </w:rPr>
              <w:t xml:space="preserve"> of the ISLO being assessed.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1CE68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84B2B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86CDD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5359F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2B0F76" w:rsidRPr="00F77B13" w14:paraId="33D56427" w14:textId="77777777" w:rsidTr="00F05630">
        <w:trPr>
          <w:trHeight w:val="900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E89B9" w14:textId="77777777" w:rsidR="00C36300" w:rsidRDefault="002B0F76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2B0F76">
              <w:rPr>
                <w:rFonts w:eastAsia="Times New Roman" w:cs="Calibri"/>
                <w:color w:val="000000"/>
                <w:sz w:val="22"/>
                <w:szCs w:val="22"/>
              </w:rPr>
              <w:t xml:space="preserve">Each performance objective is </w:t>
            </w:r>
            <w:r w:rsidR="00C51EC2">
              <w:rPr>
                <w:rFonts w:eastAsia="Times New Roman" w:cs="Calibri"/>
                <w:color w:val="000000"/>
                <w:sz w:val="22"/>
                <w:szCs w:val="22"/>
              </w:rPr>
              <w:t>a</w:t>
            </w:r>
            <w:r w:rsidRPr="002B0F76">
              <w:rPr>
                <w:rFonts w:eastAsia="Times New Roman" w:cs="Calibri"/>
                <w:color w:val="000000"/>
                <w:sz w:val="22"/>
                <w:szCs w:val="22"/>
              </w:rPr>
              <w:t xml:space="preserve"> measurement </w:t>
            </w:r>
            <w:r w:rsidR="00EB63F0" w:rsidRPr="002B0F76">
              <w:rPr>
                <w:rFonts w:eastAsia="Times New Roman" w:cs="Calibri"/>
                <w:color w:val="000000"/>
                <w:sz w:val="22"/>
                <w:szCs w:val="22"/>
              </w:rPr>
              <w:t>of individual</w:t>
            </w:r>
            <w:r w:rsidRPr="002B0F76">
              <w:rPr>
                <w:rFonts w:eastAsia="Times New Roman" w:cs="Calibri"/>
                <w:color w:val="000000"/>
                <w:sz w:val="22"/>
                <w:szCs w:val="22"/>
              </w:rPr>
              <w:t xml:space="preserve"> student achievement of the ISLO(s) being assessed: they are not evaluations of team performance or group work.</w:t>
            </w:r>
          </w:p>
          <w:p w14:paraId="342D554B" w14:textId="70BE4B7B" w:rsidR="002B0F76" w:rsidRPr="00F77B13" w:rsidRDefault="00C36300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ab/>
            </w:r>
            <w:r w:rsidR="00C51EC2">
              <w:t>i.e.</w:t>
            </w:r>
            <w:r w:rsidR="00C51EC2" w:rsidRPr="00C51EC2">
              <w:rPr>
                <w:rFonts w:eastAsia="Times New Roman" w:cs="Calibri"/>
                <w:color w:val="000000"/>
                <w:sz w:val="22"/>
                <w:szCs w:val="22"/>
              </w:rPr>
              <w:t xml:space="preserve"> no indicator of group achievement such as a class or group median, mean, or average is being evaluated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DDF35" w14:textId="77777777" w:rsidR="002B0F76" w:rsidRPr="00F77B13" w:rsidRDefault="002B0F76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8E099" w14:textId="77777777" w:rsidR="002B0F76" w:rsidRPr="00F77B13" w:rsidRDefault="002B0F76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4073" w14:textId="77777777" w:rsidR="002B0F76" w:rsidRPr="00F77B13" w:rsidRDefault="002B0F76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E40B5" w14:textId="77777777" w:rsidR="002B0F76" w:rsidRPr="00F77B13" w:rsidRDefault="002B0F76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77B13" w:rsidRPr="00F77B13" w14:paraId="67AC81F6" w14:textId="77777777" w:rsidTr="00F05630">
        <w:trPr>
          <w:trHeight w:val="900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3EBC6" w14:textId="77777777" w:rsidR="00D436C4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Performance objectives are specific to </w:t>
            </w:r>
            <w:r w:rsidR="00515F2F">
              <w:rPr>
                <w:rFonts w:eastAsia="Times New Roman" w:cs="Calibri"/>
                <w:color w:val="000000"/>
                <w:sz w:val="22"/>
                <w:szCs w:val="22"/>
              </w:rPr>
              <w:t xml:space="preserve">individual student 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achievement of </w:t>
            </w:r>
            <w:r w:rsidR="00792C01">
              <w:rPr>
                <w:rFonts w:eastAsia="Times New Roman" w:cs="Calibri"/>
                <w:color w:val="000000"/>
                <w:sz w:val="22"/>
                <w:szCs w:val="22"/>
              </w:rPr>
              <w:t>each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</w:t>
            </w:r>
            <w:r w:rsidR="008C2C37">
              <w:rPr>
                <w:rFonts w:eastAsia="Times New Roman" w:cs="Calibri"/>
                <w:color w:val="000000"/>
                <w:sz w:val="22"/>
                <w:szCs w:val="22"/>
              </w:rPr>
              <w:t>ISLO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being assessed.</w:t>
            </w:r>
          </w:p>
          <w:p w14:paraId="2346845C" w14:textId="5DF0980A" w:rsidR="00F77B13" w:rsidRPr="00F77B13" w:rsidRDefault="00D436C4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ab/>
            </w:r>
            <w:r w:rsidR="00F77B13"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i.e. no overall grades, percentage scores, or marks </w:t>
            </w:r>
            <w:r w:rsidR="00C51EC2">
              <w:rPr>
                <w:rFonts w:eastAsia="Times New Roman" w:cs="Calibri"/>
                <w:color w:val="000000"/>
                <w:sz w:val="22"/>
                <w:szCs w:val="22"/>
              </w:rPr>
              <w:t>are</w:t>
            </w:r>
            <w:r w:rsidR="006D6B60">
              <w:rPr>
                <w:rFonts w:eastAsia="Times New Roman" w:cs="Calibri"/>
                <w:color w:val="000000"/>
                <w:sz w:val="22"/>
                <w:szCs w:val="22"/>
              </w:rPr>
              <w:t xml:space="preserve"> used</w:t>
            </w:r>
            <w:r w:rsidR="00C51EC2">
              <w:rPr>
                <w:rFonts w:eastAsia="Times New Roman" w:cs="Calibri"/>
                <w:color w:val="000000"/>
                <w:sz w:val="22"/>
                <w:szCs w:val="22"/>
              </w:rPr>
              <w:t xml:space="preserve">, </w:t>
            </w:r>
            <w:r w:rsidR="00F77B13" w:rsidRPr="00F77B13">
              <w:rPr>
                <w:rFonts w:eastAsia="Times New Roman" w:cs="Calibri"/>
                <w:color w:val="000000"/>
                <w:sz w:val="22"/>
                <w:szCs w:val="22"/>
              </w:rPr>
              <w:t>nor is the completion of a task or assignment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07012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85AA7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A72AA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DADDC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03DC048D" w14:textId="77777777" w:rsidTr="00F05630">
        <w:trPr>
          <w:trHeight w:val="600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AD01" w14:textId="0901D515" w:rsidR="00F77B13" w:rsidRPr="00F77B13" w:rsidRDefault="006D6B60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S</w:t>
            </w:r>
            <w:r w:rsidR="00F77B13" w:rsidRPr="00F77B13">
              <w:rPr>
                <w:rFonts w:eastAsia="Times New Roman" w:cs="Calibri"/>
                <w:color w:val="000000"/>
                <w:sz w:val="22"/>
                <w:szCs w:val="22"/>
              </w:rPr>
              <w:t>tudent satisfaction is not used as a performance objective for any measure of student learning.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3FC1E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BF54C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E3BC1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7181B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4AEDDCFC" w14:textId="77777777" w:rsidTr="00F05630">
        <w:trPr>
          <w:trHeight w:val="1500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7464D" w14:textId="5171AF5E" w:rsidR="00F77B13" w:rsidRPr="00F77B13" w:rsidRDefault="00D436C4" w:rsidP="00F77B13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lastRenderedPageBreak/>
              <w:t>For</w:t>
            </w:r>
            <w:r w:rsidR="00F77B13" w:rsidRPr="00F77B13">
              <w:rPr>
                <w:rFonts w:eastAsia="Times New Roman" w:cs="Calibri"/>
                <w:sz w:val="22"/>
                <w:szCs w:val="22"/>
              </w:rPr>
              <w:t xml:space="preserve"> case</w:t>
            </w:r>
            <w:r>
              <w:rPr>
                <w:rFonts w:eastAsia="Times New Roman" w:cs="Calibri"/>
                <w:sz w:val="22"/>
                <w:szCs w:val="22"/>
              </w:rPr>
              <w:t>s other than</w:t>
            </w:r>
            <w:r w:rsidR="00F77B13" w:rsidRPr="00F77B13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="00AD1C48">
              <w:rPr>
                <w:rFonts w:eastAsia="Times New Roman" w:cs="Calibri"/>
                <w:sz w:val="22"/>
                <w:szCs w:val="22"/>
              </w:rPr>
              <w:t xml:space="preserve">comprehensive </w:t>
            </w:r>
            <w:r w:rsidR="00F77B13" w:rsidRPr="00F77B13">
              <w:rPr>
                <w:rFonts w:eastAsia="Times New Roman" w:cs="Calibri"/>
                <w:sz w:val="22"/>
                <w:szCs w:val="22"/>
              </w:rPr>
              <w:t xml:space="preserve">examinations, the performance objectives for each direct measure of student learning are expressed in terms of desired </w:t>
            </w:r>
            <w:r w:rsidR="009705BF">
              <w:rPr>
                <w:rFonts w:eastAsia="Times New Roman" w:cs="Calibri"/>
                <w:sz w:val="22"/>
                <w:szCs w:val="22"/>
              </w:rPr>
              <w:t>results</w:t>
            </w:r>
            <w:r w:rsidR="00F77B13" w:rsidRPr="00F77B13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="00EB55F3">
              <w:rPr>
                <w:rFonts w:eastAsia="Times New Roman" w:cs="Calibri"/>
                <w:sz w:val="22"/>
                <w:szCs w:val="22"/>
              </w:rPr>
              <w:t xml:space="preserve">on the </w:t>
            </w:r>
            <w:r w:rsidR="00AD1C48">
              <w:rPr>
                <w:rFonts w:eastAsia="Times New Roman" w:cs="Calibri"/>
                <w:sz w:val="22"/>
                <w:szCs w:val="22"/>
              </w:rPr>
              <w:t xml:space="preserve">specific </w:t>
            </w:r>
            <w:r w:rsidR="00EB55F3">
              <w:rPr>
                <w:rFonts w:eastAsia="Times New Roman" w:cs="Calibri"/>
                <w:sz w:val="22"/>
                <w:szCs w:val="22"/>
              </w:rPr>
              <w:t>performance</w:t>
            </w:r>
            <w:r w:rsidR="00F77B13" w:rsidRPr="00F77B13">
              <w:rPr>
                <w:rFonts w:eastAsia="Times New Roman" w:cs="Calibri"/>
                <w:sz w:val="22"/>
                <w:szCs w:val="22"/>
              </w:rPr>
              <w:t xml:space="preserve"> criteria (rubric</w:t>
            </w:r>
            <w:r w:rsidR="0072232D">
              <w:rPr>
                <w:rFonts w:eastAsia="Times New Roman" w:cs="Calibri"/>
                <w:sz w:val="22"/>
                <w:szCs w:val="22"/>
              </w:rPr>
              <w:t xml:space="preserve"> component</w:t>
            </w:r>
            <w:r w:rsidR="00F77B13" w:rsidRPr="00F77B13">
              <w:rPr>
                <w:rFonts w:eastAsia="Times New Roman" w:cs="Calibri"/>
                <w:sz w:val="22"/>
                <w:szCs w:val="22"/>
              </w:rPr>
              <w:t xml:space="preserve">) </w:t>
            </w:r>
            <w:r w:rsidR="0072232D">
              <w:rPr>
                <w:rFonts w:eastAsia="Times New Roman" w:cs="Calibri"/>
                <w:sz w:val="22"/>
                <w:szCs w:val="22"/>
              </w:rPr>
              <w:t>that is tied to the</w:t>
            </w:r>
            <w:r w:rsidR="00F77B13" w:rsidRPr="00F77B13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="008C2C37">
              <w:rPr>
                <w:rFonts w:eastAsia="Times New Roman" w:cs="Calibri"/>
                <w:sz w:val="22"/>
                <w:szCs w:val="22"/>
              </w:rPr>
              <w:t>ISL</w:t>
            </w:r>
            <w:r w:rsidR="0072232D">
              <w:rPr>
                <w:rFonts w:eastAsia="Times New Roman" w:cs="Calibri"/>
                <w:sz w:val="22"/>
                <w:szCs w:val="22"/>
              </w:rPr>
              <w:t>O being assessed.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0D0D6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88BEA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C78AF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EA1E6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1F9C075E" w14:textId="77777777" w:rsidTr="003F4B88">
        <w:trPr>
          <w:trHeight w:val="1008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39B12" w14:textId="77FD005E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In the case of comprehensive examinations, the performance objectives are expressed in terms of desired </w:t>
            </w:r>
            <w:r w:rsidR="009705BF">
              <w:rPr>
                <w:rFonts w:eastAsia="Times New Roman" w:cs="Calibri"/>
                <w:color w:val="000000"/>
                <w:sz w:val="22"/>
                <w:szCs w:val="22"/>
              </w:rPr>
              <w:t>results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on each subset of exam questions related to </w:t>
            </w:r>
            <w:r w:rsidR="00D436C4">
              <w:rPr>
                <w:rFonts w:eastAsia="Times New Roman" w:cs="Calibri"/>
                <w:color w:val="000000"/>
                <w:sz w:val="22"/>
                <w:szCs w:val="22"/>
              </w:rPr>
              <w:t>the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</w:t>
            </w:r>
            <w:r w:rsidR="008C2C37">
              <w:rPr>
                <w:rFonts w:eastAsia="Times New Roman" w:cs="Calibri"/>
                <w:color w:val="000000"/>
                <w:sz w:val="22"/>
                <w:szCs w:val="22"/>
              </w:rPr>
              <w:t>ISLO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</w:t>
            </w:r>
            <w:r w:rsidR="00D436C4">
              <w:rPr>
                <w:rFonts w:eastAsia="Times New Roman" w:cs="Calibri"/>
                <w:color w:val="000000"/>
                <w:sz w:val="22"/>
                <w:szCs w:val="22"/>
              </w:rPr>
              <w:t>being assessed.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0CE1E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020CD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73263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4D89C" w14:textId="0D544230" w:rsidR="00D16228" w:rsidRPr="003F4B88" w:rsidRDefault="00D16228" w:rsidP="003F4B88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77B13" w:rsidRPr="00F77B13" w14:paraId="186DCA98" w14:textId="77777777" w:rsidTr="00F05630">
        <w:trPr>
          <w:trHeight w:val="1200"/>
        </w:trPr>
        <w:tc>
          <w:tcPr>
            <w:tcW w:w="5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36974" w14:textId="10033E37" w:rsidR="00F77B13" w:rsidRPr="00F77B13" w:rsidRDefault="00F77B13" w:rsidP="00F77B13">
            <w:pPr>
              <w:rPr>
                <w:rFonts w:eastAsia="Times New Roman" w:cs="Calibri"/>
                <w:sz w:val="22"/>
                <w:szCs w:val="22"/>
              </w:rPr>
            </w:pPr>
            <w:r w:rsidRPr="00F77B13">
              <w:rPr>
                <w:rFonts w:eastAsia="Times New Roman" w:cs="Calibri"/>
                <w:sz w:val="22"/>
                <w:szCs w:val="22"/>
              </w:rPr>
              <w:t xml:space="preserve">The performance objectives for each indirect measure of student learning are expressed in terms of desired results on the assessment instrument's components </w:t>
            </w:r>
            <w:r w:rsidR="0072232D">
              <w:rPr>
                <w:rFonts w:eastAsia="Times New Roman" w:cs="Calibri"/>
                <w:sz w:val="22"/>
                <w:szCs w:val="22"/>
              </w:rPr>
              <w:t>tied to the ISLOs being assessed.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16BD9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31C1A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9FB19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2A60D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D918A1E" w14:textId="79BEEB85" w:rsidR="006759B0" w:rsidRDefault="006759B0"/>
    <w:p w14:paraId="6BD6927A" w14:textId="77777777" w:rsidR="00B85F69" w:rsidRDefault="00B85F69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DF6150" w:rsidRPr="00DF6150" w14:paraId="3C1BD3C5" w14:textId="77777777" w:rsidTr="00DF6150">
        <w:tc>
          <w:tcPr>
            <w:tcW w:w="10975" w:type="dxa"/>
            <w:shd w:val="clear" w:color="auto" w:fill="8EAADB" w:themeFill="accent1" w:themeFillTint="99"/>
          </w:tcPr>
          <w:p w14:paraId="6F376B49" w14:textId="0C73EB8A" w:rsidR="00DF6150" w:rsidRPr="00DF6150" w:rsidRDefault="004B36AF" w:rsidP="00931D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Notes</w:t>
            </w:r>
            <w:r w:rsidR="00DF6150" w:rsidRPr="00DF6150">
              <w:rPr>
                <w:b/>
                <w:bCs/>
                <w:sz w:val="22"/>
                <w:szCs w:val="22"/>
              </w:rPr>
              <w:t xml:space="preserve">/Takeaways/Actions for Section </w:t>
            </w:r>
            <w:r w:rsidR="00DF6150">
              <w:rPr>
                <w:b/>
                <w:bCs/>
                <w:sz w:val="22"/>
                <w:szCs w:val="22"/>
              </w:rPr>
              <w:t>I</w:t>
            </w:r>
            <w:r w:rsidR="00DF6150" w:rsidRPr="00DF6150">
              <w:rPr>
                <w:b/>
                <w:bCs/>
                <w:sz w:val="22"/>
                <w:szCs w:val="22"/>
              </w:rPr>
              <w:t xml:space="preserve">I: </w:t>
            </w:r>
            <w:r w:rsidR="006759B0">
              <w:rPr>
                <w:b/>
                <w:bCs/>
                <w:sz w:val="22"/>
                <w:szCs w:val="22"/>
              </w:rPr>
              <w:t>Student Learning Assessment</w:t>
            </w:r>
          </w:p>
        </w:tc>
      </w:tr>
      <w:tr w:rsidR="00DF6150" w14:paraId="6AEA7018" w14:textId="77777777" w:rsidTr="006759B0">
        <w:trPr>
          <w:trHeight w:hRule="exact" w:val="2304"/>
        </w:trPr>
        <w:tc>
          <w:tcPr>
            <w:tcW w:w="10975" w:type="dxa"/>
          </w:tcPr>
          <w:p w14:paraId="1297F6F9" w14:textId="77777777" w:rsidR="00DF6150" w:rsidRDefault="00DF6150" w:rsidP="00931DF6"/>
        </w:tc>
      </w:tr>
    </w:tbl>
    <w:p w14:paraId="51512EC7" w14:textId="67768517" w:rsidR="00F77B13" w:rsidRDefault="00F77B13"/>
    <w:p w14:paraId="48DCBDA3" w14:textId="576400D6" w:rsidR="0072232D" w:rsidRDefault="0072232D">
      <w:r>
        <w:br w:type="page"/>
      </w:r>
    </w:p>
    <w:p w14:paraId="3280FDCA" w14:textId="77777777" w:rsidR="0072232D" w:rsidRDefault="0072232D"/>
    <w:p w14:paraId="325D2577" w14:textId="77777777" w:rsidR="006759B0" w:rsidRDefault="006759B0"/>
    <w:tbl>
      <w:tblPr>
        <w:tblW w:w="10975" w:type="dxa"/>
        <w:tblLook w:val="04A0" w:firstRow="1" w:lastRow="0" w:firstColumn="1" w:lastColumn="0" w:noHBand="0" w:noVBand="1"/>
      </w:tblPr>
      <w:tblGrid>
        <w:gridCol w:w="9535"/>
        <w:gridCol w:w="1440"/>
      </w:tblGrid>
      <w:tr w:rsidR="00F77B13" w:rsidRPr="00F77B13" w14:paraId="01568377" w14:textId="77777777" w:rsidTr="00042DD1">
        <w:trPr>
          <w:trHeight w:val="600"/>
          <w:tblHeader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174A3D" w14:textId="77777777" w:rsidR="00F77B13" w:rsidRPr="00F77B13" w:rsidRDefault="00F77B13" w:rsidP="00F77B13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bookmarkStart w:id="3" w:name="_Hlk99349248"/>
            <w:r w:rsidRPr="00F77B1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Section III: Operational Assessment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6687C326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Yes/No</w:t>
            </w:r>
          </w:p>
        </w:tc>
      </w:tr>
      <w:bookmarkEnd w:id="3"/>
      <w:tr w:rsidR="00F77B13" w:rsidRPr="00F77B13" w14:paraId="087E5541" w14:textId="77777777" w:rsidTr="00042DD1"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2CF7" w14:textId="388FDBF5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The OAP articulates </w:t>
            </w:r>
            <w:r w:rsidR="00AB23CA">
              <w:rPr>
                <w:rFonts w:eastAsia="Times New Roman" w:cs="Calibri"/>
                <w:color w:val="000000"/>
                <w:sz w:val="22"/>
                <w:szCs w:val="22"/>
              </w:rPr>
              <w:t>Intended Operational Outcomes (IOOs)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for the </w:t>
            </w:r>
            <w:r w:rsidR="00F24D64">
              <w:rPr>
                <w:rFonts w:eastAsia="Times New Roman" w:cs="Calibri"/>
                <w:color w:val="000000"/>
                <w:sz w:val="22"/>
                <w:szCs w:val="22"/>
              </w:rPr>
              <w:t>business unit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FD8A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4DD70D84" w14:textId="77777777" w:rsidTr="00042DD1"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41FA" w14:textId="032BB90A" w:rsidR="00F77B13" w:rsidRPr="00F77B13" w:rsidRDefault="00C647C8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For each </w:t>
            </w:r>
            <w:r w:rsidR="008C2C37">
              <w:rPr>
                <w:rFonts w:eastAsia="Times New Roman" w:cs="Calibri"/>
                <w:color w:val="000000"/>
                <w:sz w:val="22"/>
                <w:szCs w:val="22"/>
              </w:rPr>
              <w:t>I</w:t>
            </w:r>
            <w:r w:rsidR="00AB23CA">
              <w:rPr>
                <w:rFonts w:eastAsia="Times New Roman" w:cs="Calibri"/>
                <w:color w:val="000000"/>
                <w:sz w:val="22"/>
                <w:szCs w:val="22"/>
              </w:rPr>
              <w:t>OO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, the OAP identifies 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>each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broad-based </w:t>
            </w:r>
            <w:r w:rsidR="006A10D3">
              <w:rPr>
                <w:rFonts w:eastAsia="Times New Roman" w:cs="Calibri"/>
                <w:color w:val="000000"/>
                <w:sz w:val="22"/>
                <w:szCs w:val="22"/>
              </w:rPr>
              <w:t>operational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goa</w:t>
            </w:r>
            <w:r w:rsidR="006A10D3">
              <w:rPr>
                <w:rFonts w:eastAsia="Times New Roman" w:cs="Calibri"/>
                <w:color w:val="000000"/>
                <w:sz w:val="22"/>
                <w:szCs w:val="22"/>
              </w:rPr>
              <w:t>l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to which that outcome is linked.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 (may be more than one)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09D6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14CC6E76" w14:textId="77777777" w:rsidTr="00042DD1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532A6" w14:textId="58E02245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The </w:t>
            </w:r>
            <w:r w:rsidR="00AB23CA">
              <w:rPr>
                <w:rFonts w:eastAsia="Times New Roman" w:cs="Calibri"/>
                <w:color w:val="000000"/>
                <w:sz w:val="22"/>
                <w:szCs w:val="22"/>
              </w:rPr>
              <w:t>IOOs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clearly describe the specific desired objectives of the </w:t>
            </w:r>
            <w:r w:rsidR="00F24D64">
              <w:rPr>
                <w:rFonts w:eastAsia="Times New Roman" w:cs="Calibri"/>
                <w:color w:val="000000"/>
                <w:sz w:val="22"/>
                <w:szCs w:val="22"/>
              </w:rPr>
              <w:t>business unit</w:t>
            </w:r>
            <w:r w:rsidR="006A10D3">
              <w:rPr>
                <w:rFonts w:eastAsia="Times New Roma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0ACE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6A10D3" w:rsidRPr="00F77B13" w14:paraId="1B7F23A4" w14:textId="77777777" w:rsidTr="00042DD1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DC654" w14:textId="5E6A1C6D" w:rsidR="006A10D3" w:rsidRPr="00F77B13" w:rsidRDefault="006A10D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The IOOs are not statements regarding student performance.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7E45" w14:textId="77777777" w:rsidR="006A10D3" w:rsidRPr="00F77B13" w:rsidRDefault="006A10D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6A10D3" w:rsidRPr="00F77B13" w14:paraId="122D4AAE" w14:textId="77777777" w:rsidTr="00042DD1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BD6E8" w14:textId="30A7BDE9" w:rsidR="006A10D3" w:rsidRDefault="006A10D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The IOOs clearly identify what the business unit will do or provide.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7CB7" w14:textId="77777777" w:rsidR="006A10D3" w:rsidRPr="00F77B13" w:rsidRDefault="006A10D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77B13" w:rsidRPr="00F77B13" w14:paraId="12924868" w14:textId="77777777" w:rsidTr="00042DD1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4E75" w14:textId="11EB81D8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The </w:t>
            </w:r>
            <w:r w:rsidR="00AB23CA">
              <w:rPr>
                <w:rFonts w:eastAsia="Times New Roman" w:cs="Calibri"/>
                <w:color w:val="000000"/>
                <w:sz w:val="22"/>
                <w:szCs w:val="22"/>
              </w:rPr>
              <w:t>IOOs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are measurable</w:t>
            </w:r>
            <w:r w:rsidR="00C647C8">
              <w:rPr>
                <w:rFonts w:eastAsia="Times New Roma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8AB6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2992DB42" w14:textId="77777777" w:rsidTr="00042DD1"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718F" w14:textId="4C539EE1" w:rsidR="00F77B13" w:rsidRPr="00F77B13" w:rsidRDefault="00F77B13" w:rsidP="00F77B1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Each </w:t>
            </w:r>
            <w:r w:rsidR="00AB23CA">
              <w:rPr>
                <w:rFonts w:eastAsia="Times New Roman" w:cs="Calibri"/>
                <w:color w:val="000000"/>
                <w:sz w:val="22"/>
                <w:szCs w:val="22"/>
              </w:rPr>
              <w:t>IOO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is assessed by at least one assessment measure.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4221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E55004" w:rsidRPr="00F77B13" w14:paraId="28996CF3" w14:textId="77777777" w:rsidTr="00CD1F95">
        <w:tblPrEx>
          <w:shd w:val="clear" w:color="auto" w:fill="D9E2F3" w:themeFill="accent1" w:themeFillTint="33"/>
        </w:tblPrEx>
        <w:trPr>
          <w:trHeight w:val="600"/>
          <w:tblHeader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29BF37" w14:textId="7F639FAA" w:rsidR="00E55004" w:rsidRPr="00F77B13" w:rsidRDefault="00E55004" w:rsidP="00171DF8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Operational Assessment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 xml:space="preserve"> Measures &amp; Performance Objectives (targets)</w:t>
            </w:r>
          </w:p>
        </w:tc>
      </w:tr>
    </w:tbl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9535"/>
        <w:gridCol w:w="1440"/>
      </w:tblGrid>
      <w:tr w:rsidR="003351A6" w14:paraId="669EBE41" w14:textId="4AA36B15" w:rsidTr="001A0EE8">
        <w:tc>
          <w:tcPr>
            <w:tcW w:w="9535" w:type="dxa"/>
          </w:tcPr>
          <w:p w14:paraId="71CD28AF" w14:textId="7B07DB66" w:rsidR="003351A6" w:rsidRDefault="003351A6" w:rsidP="003351A6"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The 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OAP identifies the 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>IOO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(s) assessed by 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>each assessment</w:t>
            </w: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 xml:space="preserve"> measure</w:t>
            </w:r>
          </w:p>
        </w:tc>
        <w:tc>
          <w:tcPr>
            <w:tcW w:w="1440" w:type="dxa"/>
          </w:tcPr>
          <w:p w14:paraId="7A4FDFE3" w14:textId="77777777" w:rsidR="003351A6" w:rsidRDefault="003351A6" w:rsidP="003351A6"/>
        </w:tc>
      </w:tr>
      <w:tr w:rsidR="003351A6" w14:paraId="53B28757" w14:textId="77777777" w:rsidTr="001A0EE8">
        <w:tc>
          <w:tcPr>
            <w:tcW w:w="9535" w:type="dxa"/>
          </w:tcPr>
          <w:p w14:paraId="639B691F" w14:textId="06040A1A" w:rsidR="006A10D3" w:rsidRDefault="003351A6" w:rsidP="003351A6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351A6">
              <w:rPr>
                <w:rFonts w:eastAsia="Times New Roman" w:cs="Calibri"/>
                <w:color w:val="000000"/>
                <w:sz w:val="22"/>
                <w:szCs w:val="22"/>
              </w:rPr>
              <w:t xml:space="preserve">All operational assessment measures directly evaluate the </w:t>
            </w:r>
            <w:r w:rsidR="00F24D64">
              <w:rPr>
                <w:rFonts w:eastAsia="Times New Roman" w:cs="Calibri"/>
                <w:color w:val="000000"/>
                <w:sz w:val="22"/>
                <w:szCs w:val="22"/>
              </w:rPr>
              <w:t>business unit</w:t>
            </w:r>
            <w:r w:rsidRPr="003351A6">
              <w:rPr>
                <w:rFonts w:eastAsia="Times New Roman" w:cs="Calibri"/>
                <w:color w:val="000000"/>
                <w:sz w:val="22"/>
                <w:szCs w:val="22"/>
              </w:rPr>
              <w:t>'s achievement of each IOO they are designed to assess</w:t>
            </w:r>
          </w:p>
          <w:p w14:paraId="456C898C" w14:textId="1BC4AA90" w:rsidR="003351A6" w:rsidRPr="00F77B13" w:rsidRDefault="006A10D3" w:rsidP="003351A6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ab/>
            </w:r>
            <w:r w:rsidR="003351A6" w:rsidRPr="003351A6">
              <w:rPr>
                <w:rFonts w:eastAsia="Times New Roman" w:cs="Calibri"/>
                <w:color w:val="000000"/>
                <w:sz w:val="22"/>
                <w:szCs w:val="22"/>
              </w:rPr>
              <w:t xml:space="preserve">i.e., they contain questions, components, etc. that are directly related to 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evaluation of </w:t>
            </w:r>
            <w:r w:rsidR="0021004F">
              <w:rPr>
                <w:rFonts w:eastAsia="Times New Roman" w:cs="Calibri"/>
                <w:color w:val="000000"/>
                <w:sz w:val="22"/>
                <w:szCs w:val="22"/>
              </w:rPr>
              <w:t>the</w:t>
            </w:r>
            <w:r w:rsidR="003351A6" w:rsidRPr="003351A6">
              <w:rPr>
                <w:rFonts w:eastAsia="Times New Roman" w:cs="Calibri"/>
                <w:color w:val="000000"/>
                <w:sz w:val="22"/>
                <w:szCs w:val="22"/>
              </w:rPr>
              <w:t xml:space="preserve"> IOO</w:t>
            </w:r>
          </w:p>
        </w:tc>
        <w:tc>
          <w:tcPr>
            <w:tcW w:w="1440" w:type="dxa"/>
          </w:tcPr>
          <w:p w14:paraId="6FE58880" w14:textId="77777777" w:rsidR="003351A6" w:rsidRDefault="003351A6" w:rsidP="003351A6"/>
        </w:tc>
      </w:tr>
      <w:tr w:rsidR="003351A6" w14:paraId="0FC2C7AB" w14:textId="77777777" w:rsidTr="001A0EE8">
        <w:tc>
          <w:tcPr>
            <w:tcW w:w="9535" w:type="dxa"/>
          </w:tcPr>
          <w:p w14:paraId="25A44E35" w14:textId="5BE5DCA4" w:rsidR="003351A6" w:rsidRPr="00F77B13" w:rsidRDefault="003351A6" w:rsidP="003351A6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351A6">
              <w:rPr>
                <w:rFonts w:eastAsia="Times New Roman" w:cs="Calibri"/>
                <w:color w:val="000000"/>
                <w:sz w:val="22"/>
                <w:szCs w:val="22"/>
              </w:rPr>
              <w:t xml:space="preserve">The OAP specifies performance objectives </w:t>
            </w:r>
            <w:r w:rsidR="0021004F">
              <w:rPr>
                <w:rFonts w:eastAsia="Times New Roman" w:cs="Calibri"/>
                <w:color w:val="000000"/>
                <w:sz w:val="22"/>
                <w:szCs w:val="22"/>
              </w:rPr>
              <w:t xml:space="preserve">(targets/benchmarks) </w:t>
            </w:r>
            <w:r w:rsidRPr="003351A6">
              <w:rPr>
                <w:rFonts w:eastAsia="Times New Roman" w:cs="Calibri"/>
                <w:color w:val="000000"/>
                <w:sz w:val="22"/>
                <w:szCs w:val="22"/>
              </w:rPr>
              <w:t>for each assessment measure that will be used to determine the extent to which each IOO is being achieved.</w:t>
            </w:r>
          </w:p>
        </w:tc>
        <w:tc>
          <w:tcPr>
            <w:tcW w:w="1440" w:type="dxa"/>
          </w:tcPr>
          <w:p w14:paraId="2B58FBDB" w14:textId="77777777" w:rsidR="003351A6" w:rsidRDefault="003351A6" w:rsidP="003351A6"/>
        </w:tc>
      </w:tr>
      <w:tr w:rsidR="003351A6" w14:paraId="3099B6E6" w14:textId="77777777" w:rsidTr="001A0EE8">
        <w:tc>
          <w:tcPr>
            <w:tcW w:w="9535" w:type="dxa"/>
          </w:tcPr>
          <w:p w14:paraId="7126DCE6" w14:textId="2E0A49F9" w:rsidR="003351A6" w:rsidRPr="00F77B13" w:rsidRDefault="003351A6" w:rsidP="003351A6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351A6">
              <w:rPr>
                <w:rFonts w:eastAsia="Times New Roman" w:cs="Calibri"/>
                <w:color w:val="000000"/>
                <w:sz w:val="22"/>
                <w:szCs w:val="22"/>
              </w:rPr>
              <w:t xml:space="preserve">The performance objectives are expressed in terms of desired results on the assessment measure's components </w:t>
            </w:r>
            <w:r w:rsidR="00224BC7">
              <w:rPr>
                <w:rFonts w:eastAsia="Times New Roman" w:cs="Calibri"/>
                <w:color w:val="000000"/>
                <w:sz w:val="22"/>
                <w:szCs w:val="22"/>
              </w:rPr>
              <w:t>tied to the IOO being assessed.</w:t>
            </w:r>
          </w:p>
        </w:tc>
        <w:tc>
          <w:tcPr>
            <w:tcW w:w="1440" w:type="dxa"/>
          </w:tcPr>
          <w:p w14:paraId="7AF553B8" w14:textId="77777777" w:rsidR="003351A6" w:rsidRDefault="003351A6" w:rsidP="003351A6"/>
        </w:tc>
      </w:tr>
    </w:tbl>
    <w:p w14:paraId="71945BF1" w14:textId="63981B25" w:rsidR="001A0EE8" w:rsidRDefault="001A0EE8"/>
    <w:p w14:paraId="5D56382D" w14:textId="77777777" w:rsidR="001A0EE8" w:rsidRDefault="001A0EE8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6759B0" w:rsidRPr="00DF6150" w14:paraId="234E3CB1" w14:textId="77777777" w:rsidTr="00042DD1">
        <w:tc>
          <w:tcPr>
            <w:tcW w:w="10975" w:type="dxa"/>
            <w:shd w:val="clear" w:color="auto" w:fill="8EAADB" w:themeFill="accent1" w:themeFillTint="99"/>
          </w:tcPr>
          <w:p w14:paraId="686C7194" w14:textId="10F57833" w:rsidR="006759B0" w:rsidRPr="00DF6150" w:rsidRDefault="004B36AF" w:rsidP="00931D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Notes</w:t>
            </w:r>
            <w:r w:rsidR="006759B0" w:rsidRPr="00DF6150">
              <w:rPr>
                <w:b/>
                <w:bCs/>
                <w:sz w:val="22"/>
                <w:szCs w:val="22"/>
              </w:rPr>
              <w:t xml:space="preserve">/Takeaways/Actions for Section </w:t>
            </w:r>
            <w:r w:rsidR="006759B0">
              <w:rPr>
                <w:b/>
                <w:bCs/>
                <w:sz w:val="22"/>
                <w:szCs w:val="22"/>
              </w:rPr>
              <w:t>III: Operational Assessment</w:t>
            </w:r>
          </w:p>
        </w:tc>
      </w:tr>
      <w:tr w:rsidR="006759B0" w14:paraId="0F257515" w14:textId="77777777" w:rsidTr="00042DD1">
        <w:trPr>
          <w:trHeight w:hRule="exact" w:val="2304"/>
        </w:trPr>
        <w:tc>
          <w:tcPr>
            <w:tcW w:w="10975" w:type="dxa"/>
          </w:tcPr>
          <w:p w14:paraId="0B7B2ACB" w14:textId="77777777" w:rsidR="006759B0" w:rsidRDefault="006759B0" w:rsidP="00931DF6"/>
        </w:tc>
      </w:tr>
    </w:tbl>
    <w:p w14:paraId="2C197A10" w14:textId="77777777" w:rsidR="006759B0" w:rsidRDefault="006759B0"/>
    <w:p w14:paraId="7D5C9295" w14:textId="63704827" w:rsidR="00F77B13" w:rsidRDefault="00F77B13"/>
    <w:tbl>
      <w:tblPr>
        <w:tblW w:w="10975" w:type="dxa"/>
        <w:tblLook w:val="04A0" w:firstRow="1" w:lastRow="0" w:firstColumn="1" w:lastColumn="0" w:noHBand="0" w:noVBand="1"/>
      </w:tblPr>
      <w:tblGrid>
        <w:gridCol w:w="9535"/>
        <w:gridCol w:w="1440"/>
      </w:tblGrid>
      <w:tr w:rsidR="00F77B13" w:rsidRPr="00F77B13" w14:paraId="1ABF12A2" w14:textId="77777777" w:rsidTr="00042DD1">
        <w:trPr>
          <w:trHeight w:val="600"/>
          <w:tblHeader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AB1F12D" w14:textId="2135C037" w:rsidR="00F77B13" w:rsidRPr="00F77B13" w:rsidRDefault="00F77B13" w:rsidP="00880CB4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Section IV: Linkage of Outcomes Assessment w</w:t>
            </w:r>
            <w:r w:rsidR="00F0563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/</w:t>
            </w:r>
            <w:r w:rsidRPr="00F77B1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 xml:space="preserve"> Strategic Planning</w:t>
            </w:r>
            <w:r w:rsidR="00F0563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/</w:t>
            </w:r>
            <w:r w:rsidRPr="00F77B1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Budgeting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577E1381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Yes/ No</w:t>
            </w:r>
          </w:p>
        </w:tc>
      </w:tr>
      <w:tr w:rsidR="00880CB4" w:rsidRPr="00F77B13" w14:paraId="216223CD" w14:textId="77777777" w:rsidTr="00042DD1">
        <w:trPr>
          <w:trHeight w:val="432"/>
        </w:trPr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622E" w14:textId="55042666" w:rsidR="00880CB4" w:rsidRDefault="00880CB4" w:rsidP="00880CB4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This is a narrative section that provides a clear picture of the linkage between the OAP and strategic planning/budgeting processes. At a minimum, it: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3794" w14:textId="77777777" w:rsidR="00880CB4" w:rsidRPr="00F77B13" w:rsidRDefault="00880CB4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77B13" w:rsidRPr="00F77B13" w14:paraId="71006FCD" w14:textId="77777777" w:rsidTr="00042DD1">
        <w:trPr>
          <w:trHeight w:val="20"/>
        </w:trPr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915E" w14:textId="121E785B" w:rsidR="00F77B13" w:rsidRPr="00880CB4" w:rsidRDefault="00880CB4" w:rsidP="00880CB4">
            <w:pPr>
              <w:pStyle w:val="ListParagraph"/>
              <w:numPr>
                <w:ilvl w:val="0"/>
                <w:numId w:val="1"/>
              </w:num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880CB4">
              <w:rPr>
                <w:rFonts w:eastAsia="Times New Roman" w:cs="Calibri"/>
                <w:color w:val="000000"/>
                <w:sz w:val="22"/>
                <w:szCs w:val="22"/>
              </w:rPr>
              <w:t>Describes</w:t>
            </w:r>
            <w:r w:rsidR="00F77B13" w:rsidRPr="00880CB4">
              <w:rPr>
                <w:rFonts w:eastAsia="Times New Roman" w:cs="Calibri"/>
                <w:color w:val="000000"/>
                <w:sz w:val="22"/>
                <w:szCs w:val="22"/>
              </w:rPr>
              <w:t xml:space="preserve"> the </w:t>
            </w:r>
            <w:r w:rsidR="00F24D64">
              <w:rPr>
                <w:rFonts w:eastAsia="Times New Roman" w:cs="Calibri"/>
                <w:color w:val="000000"/>
                <w:sz w:val="22"/>
                <w:szCs w:val="22"/>
              </w:rPr>
              <w:t>business unit</w:t>
            </w:r>
            <w:r w:rsidR="00F77B13" w:rsidRPr="00880CB4">
              <w:rPr>
                <w:rFonts w:eastAsia="Times New Roman" w:cs="Calibri"/>
                <w:color w:val="000000"/>
                <w:sz w:val="22"/>
                <w:szCs w:val="22"/>
              </w:rPr>
              <w:t xml:space="preserve"> and institutional strategic planning and budgeting processes (structures, steps, timetables, etc.).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85AF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7898EA40" w14:textId="77777777" w:rsidTr="00042DD1">
        <w:trPr>
          <w:trHeight w:val="432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DF499" w14:textId="1FACB068" w:rsidR="00F77B13" w:rsidRPr="00880CB4" w:rsidRDefault="00880CB4" w:rsidP="00880CB4">
            <w:pPr>
              <w:pStyle w:val="ListParagraph"/>
              <w:numPr>
                <w:ilvl w:val="0"/>
                <w:numId w:val="1"/>
              </w:num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880CB4">
              <w:rPr>
                <w:rFonts w:eastAsia="Times New Roman" w:cs="Calibri"/>
                <w:color w:val="000000"/>
                <w:sz w:val="22"/>
                <w:szCs w:val="22"/>
              </w:rPr>
              <w:t>E</w:t>
            </w:r>
            <w:r w:rsidR="00F77B13" w:rsidRPr="00880CB4">
              <w:rPr>
                <w:rFonts w:eastAsia="Times New Roman" w:cs="Calibri"/>
                <w:color w:val="000000"/>
                <w:sz w:val="22"/>
                <w:szCs w:val="22"/>
              </w:rPr>
              <w:t xml:space="preserve">xplains how the </w:t>
            </w:r>
            <w:r w:rsidR="00F24D64">
              <w:rPr>
                <w:rFonts w:eastAsia="Times New Roman" w:cs="Calibri"/>
                <w:color w:val="000000"/>
                <w:sz w:val="22"/>
                <w:szCs w:val="22"/>
              </w:rPr>
              <w:t>business unit</w:t>
            </w:r>
            <w:r w:rsidR="00F77B13" w:rsidRPr="00880CB4">
              <w:rPr>
                <w:rFonts w:eastAsia="Times New Roman" w:cs="Calibri"/>
                <w:color w:val="000000"/>
                <w:sz w:val="22"/>
                <w:szCs w:val="22"/>
              </w:rPr>
              <w:t xml:space="preserve"> uses results</w:t>
            </w:r>
            <w:r w:rsidR="00224BC7">
              <w:rPr>
                <w:rFonts w:eastAsia="Times New Roman" w:cs="Calibri"/>
                <w:color w:val="000000"/>
                <w:sz w:val="22"/>
                <w:szCs w:val="22"/>
              </w:rPr>
              <w:t>/data</w:t>
            </w:r>
            <w:r w:rsidR="00F77B13" w:rsidRPr="00880CB4">
              <w:rPr>
                <w:rFonts w:eastAsia="Times New Roman" w:cs="Calibri"/>
                <w:color w:val="000000"/>
                <w:sz w:val="22"/>
                <w:szCs w:val="22"/>
              </w:rPr>
              <w:t xml:space="preserve"> </w:t>
            </w:r>
            <w:r w:rsidR="00224BC7">
              <w:rPr>
                <w:rFonts w:eastAsia="Times New Roman" w:cs="Calibri"/>
                <w:color w:val="000000"/>
                <w:sz w:val="22"/>
                <w:szCs w:val="22"/>
              </w:rPr>
              <w:t>from</w:t>
            </w:r>
            <w:r w:rsidR="00F77B13" w:rsidRPr="00880CB4">
              <w:rPr>
                <w:rFonts w:eastAsia="Times New Roman" w:cs="Calibri"/>
                <w:color w:val="000000"/>
                <w:sz w:val="22"/>
                <w:szCs w:val="22"/>
              </w:rPr>
              <w:t xml:space="preserve"> implement</w:t>
            </w:r>
            <w:r w:rsidR="00224BC7">
              <w:rPr>
                <w:rFonts w:eastAsia="Times New Roman" w:cs="Calibri"/>
                <w:color w:val="000000"/>
                <w:sz w:val="22"/>
                <w:szCs w:val="22"/>
              </w:rPr>
              <w:t>ation of</w:t>
            </w:r>
            <w:r w:rsidR="00F77B13" w:rsidRPr="00880CB4">
              <w:rPr>
                <w:rFonts w:eastAsia="Times New Roman" w:cs="Calibri"/>
                <w:color w:val="000000"/>
                <w:sz w:val="22"/>
                <w:szCs w:val="22"/>
              </w:rPr>
              <w:t xml:space="preserve"> the </w:t>
            </w:r>
            <w:r w:rsidRPr="00880CB4">
              <w:rPr>
                <w:rFonts w:eastAsia="Times New Roman" w:cs="Calibri"/>
                <w:color w:val="000000"/>
                <w:sz w:val="22"/>
                <w:szCs w:val="22"/>
              </w:rPr>
              <w:t>OAP</w:t>
            </w:r>
            <w:r w:rsidR="00F77B13" w:rsidRPr="00880CB4">
              <w:rPr>
                <w:rFonts w:eastAsia="Times New Roman" w:cs="Calibri"/>
                <w:color w:val="000000"/>
                <w:sz w:val="22"/>
                <w:szCs w:val="22"/>
              </w:rPr>
              <w:t xml:space="preserve"> to identify needed changes and/or improvements.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656D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0CE10839" w14:textId="77777777" w:rsidTr="00042DD1">
        <w:trPr>
          <w:trHeight w:val="576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896C" w14:textId="54EA1CF0" w:rsidR="00F77B13" w:rsidRPr="00880CB4" w:rsidRDefault="00880CB4" w:rsidP="00880CB4">
            <w:pPr>
              <w:pStyle w:val="ListParagraph"/>
              <w:numPr>
                <w:ilvl w:val="0"/>
                <w:numId w:val="1"/>
              </w:num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880CB4">
              <w:rPr>
                <w:rFonts w:eastAsia="Times New Roman" w:cs="Calibri"/>
                <w:color w:val="000000"/>
                <w:sz w:val="22"/>
                <w:szCs w:val="22"/>
              </w:rPr>
              <w:t>D</w:t>
            </w:r>
            <w:r w:rsidR="00F77B13" w:rsidRPr="00880CB4">
              <w:rPr>
                <w:rFonts w:eastAsia="Times New Roman" w:cs="Calibri"/>
                <w:color w:val="000000"/>
                <w:sz w:val="22"/>
                <w:szCs w:val="22"/>
              </w:rPr>
              <w:t xml:space="preserve">etails how these identified changes and/or improvements are linked to (incorporated into) the strategic planning processes of both the </w:t>
            </w:r>
            <w:r w:rsidR="00F24D64">
              <w:rPr>
                <w:rFonts w:eastAsia="Times New Roman" w:cs="Calibri"/>
                <w:color w:val="000000"/>
                <w:sz w:val="22"/>
                <w:szCs w:val="22"/>
              </w:rPr>
              <w:t>business unit</w:t>
            </w:r>
            <w:r w:rsidR="00F77B13" w:rsidRPr="00880CB4">
              <w:rPr>
                <w:rFonts w:eastAsia="Times New Roman" w:cs="Calibri"/>
                <w:color w:val="000000"/>
                <w:sz w:val="22"/>
                <w:szCs w:val="22"/>
              </w:rPr>
              <w:t xml:space="preserve"> and the institution.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A48F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77B13" w:rsidRPr="00F77B13" w14:paraId="058B1ECA" w14:textId="77777777" w:rsidTr="00042DD1">
        <w:trPr>
          <w:trHeight w:val="288"/>
        </w:trPr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395E" w14:textId="24C11F62" w:rsidR="00F77B13" w:rsidRPr="00880CB4" w:rsidRDefault="00880CB4" w:rsidP="00880CB4">
            <w:pPr>
              <w:pStyle w:val="ListParagraph"/>
              <w:numPr>
                <w:ilvl w:val="0"/>
                <w:numId w:val="1"/>
              </w:num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880CB4">
              <w:rPr>
                <w:rFonts w:eastAsia="Times New Roman" w:cs="Calibri"/>
                <w:color w:val="000000"/>
                <w:sz w:val="22"/>
                <w:szCs w:val="22"/>
              </w:rPr>
              <w:t>I</w:t>
            </w:r>
            <w:r w:rsidR="00F77B13" w:rsidRPr="00880CB4">
              <w:rPr>
                <w:rFonts w:eastAsia="Times New Roman" w:cs="Calibri"/>
                <w:color w:val="000000"/>
                <w:sz w:val="22"/>
                <w:szCs w:val="22"/>
              </w:rPr>
              <w:t xml:space="preserve">dentifies the ways in which the </w:t>
            </w:r>
            <w:r w:rsidR="00F24D64">
              <w:rPr>
                <w:rFonts w:eastAsia="Times New Roman" w:cs="Calibri"/>
                <w:color w:val="000000"/>
                <w:sz w:val="22"/>
                <w:szCs w:val="22"/>
              </w:rPr>
              <w:t>business unit</w:t>
            </w:r>
            <w:r w:rsidR="00F77B13" w:rsidRPr="00880CB4">
              <w:rPr>
                <w:rFonts w:eastAsia="Times New Roman" w:cs="Calibri"/>
                <w:color w:val="000000"/>
                <w:sz w:val="22"/>
                <w:szCs w:val="22"/>
              </w:rPr>
              <w:t>’s outcomes assessment process is linked to the institutional budgeting process.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89A3" w14:textId="77777777" w:rsidR="00F77B13" w:rsidRPr="00F77B13" w:rsidRDefault="00F77B13" w:rsidP="00F77B1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77B13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B2A2921" w14:textId="107E083C" w:rsidR="00F77B13" w:rsidRDefault="00F77B13"/>
    <w:p w14:paraId="4E0E98E6" w14:textId="77777777" w:rsidR="00FB0234" w:rsidRDefault="00FB0234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6759B0" w:rsidRPr="00DF6150" w14:paraId="159AD191" w14:textId="77777777" w:rsidTr="00042DD1">
        <w:tc>
          <w:tcPr>
            <w:tcW w:w="10975" w:type="dxa"/>
            <w:shd w:val="clear" w:color="auto" w:fill="8EAADB" w:themeFill="accent1" w:themeFillTint="99"/>
          </w:tcPr>
          <w:p w14:paraId="3FD97CF0" w14:textId="50794606" w:rsidR="006759B0" w:rsidRPr="00DF6150" w:rsidRDefault="004B36AF" w:rsidP="00931D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Notes</w:t>
            </w:r>
            <w:r w:rsidR="006759B0" w:rsidRPr="00DF6150">
              <w:rPr>
                <w:b/>
                <w:bCs/>
                <w:sz w:val="22"/>
                <w:szCs w:val="22"/>
              </w:rPr>
              <w:t xml:space="preserve">/Takeaways/Actions for </w:t>
            </w:r>
            <w:r w:rsidR="006759B0" w:rsidRPr="00F77B1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Section IV: Linkage of Outcomes Assessment w</w:t>
            </w:r>
            <w:r w:rsidR="006759B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/</w:t>
            </w:r>
            <w:r w:rsidR="006759B0" w:rsidRPr="00F77B1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 xml:space="preserve"> Strategic Planning</w:t>
            </w:r>
            <w:r w:rsidR="006759B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/</w:t>
            </w:r>
            <w:r w:rsidR="006759B0" w:rsidRPr="00F77B1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Budgeting</w:t>
            </w:r>
          </w:p>
        </w:tc>
      </w:tr>
      <w:tr w:rsidR="006759B0" w14:paraId="44BDF919" w14:textId="77777777" w:rsidTr="00042DD1">
        <w:trPr>
          <w:trHeight w:hRule="exact" w:val="2304"/>
        </w:trPr>
        <w:tc>
          <w:tcPr>
            <w:tcW w:w="10975" w:type="dxa"/>
          </w:tcPr>
          <w:p w14:paraId="6F665B00" w14:textId="77777777" w:rsidR="006759B0" w:rsidRDefault="006759B0" w:rsidP="00931DF6"/>
        </w:tc>
      </w:tr>
    </w:tbl>
    <w:p w14:paraId="496842DA" w14:textId="77777777" w:rsidR="006759B0" w:rsidRDefault="006759B0"/>
    <w:p w14:paraId="336613FD" w14:textId="77777777" w:rsidR="00880CB4" w:rsidRDefault="00880CB4"/>
    <w:tbl>
      <w:tblPr>
        <w:tblW w:w="10975" w:type="dxa"/>
        <w:tblLook w:val="04A0" w:firstRow="1" w:lastRow="0" w:firstColumn="1" w:lastColumn="0" w:noHBand="0" w:noVBand="1"/>
      </w:tblPr>
      <w:tblGrid>
        <w:gridCol w:w="9535"/>
        <w:gridCol w:w="1440"/>
      </w:tblGrid>
      <w:tr w:rsidR="00880CB4" w:rsidRPr="00880CB4" w14:paraId="699AA271" w14:textId="77777777" w:rsidTr="00042DD1">
        <w:trPr>
          <w:trHeight w:val="300"/>
          <w:tblHeader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41DE4EE" w14:textId="77777777" w:rsidR="00880CB4" w:rsidRPr="00880CB4" w:rsidRDefault="00880CB4" w:rsidP="00880CB4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80CB4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Section V: Appendices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9E46245" w14:textId="77777777" w:rsidR="00880CB4" w:rsidRPr="00880CB4" w:rsidRDefault="00880CB4" w:rsidP="00880CB4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80CB4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Yes/ No</w:t>
            </w:r>
          </w:p>
        </w:tc>
      </w:tr>
      <w:tr w:rsidR="00F05630" w:rsidRPr="00880CB4" w14:paraId="34AAA20D" w14:textId="77777777" w:rsidTr="00042DD1">
        <w:trPr>
          <w:trHeight w:val="288"/>
        </w:trPr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2FBF" w14:textId="46F696BD" w:rsidR="00F05630" w:rsidRPr="00880CB4" w:rsidRDefault="00F05630" w:rsidP="00880CB4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The appendices that accompany the OAP include (at a minimum):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777C4" w14:textId="77777777" w:rsidR="00F05630" w:rsidRPr="00880CB4" w:rsidRDefault="00F05630" w:rsidP="00880C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880CB4" w:rsidRPr="00880CB4" w14:paraId="7CF744B6" w14:textId="77777777" w:rsidTr="00042DD1">
        <w:trPr>
          <w:trHeight w:val="288"/>
        </w:trPr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D25B4" w14:textId="77777777" w:rsidR="00F05630" w:rsidRDefault="00880CB4" w:rsidP="00F05630">
            <w:pPr>
              <w:pStyle w:val="ListParagraph"/>
              <w:numPr>
                <w:ilvl w:val="0"/>
                <w:numId w:val="2"/>
              </w:num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05630">
              <w:rPr>
                <w:rFonts w:eastAsia="Times New Roman" w:cs="Calibri"/>
                <w:color w:val="000000"/>
                <w:sz w:val="22"/>
                <w:szCs w:val="22"/>
              </w:rPr>
              <w:t>blank copies of all direct measures of student learning</w:t>
            </w:r>
          </w:p>
          <w:p w14:paraId="50EEFB7E" w14:textId="1A692331" w:rsidR="00F05630" w:rsidRDefault="00F05630" w:rsidP="00F05630">
            <w:pPr>
              <w:pStyle w:val="ListParagraph"/>
              <w:numPr>
                <w:ilvl w:val="1"/>
                <w:numId w:val="2"/>
              </w:num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05630">
              <w:rPr>
                <w:rFonts w:eastAsia="Times New Roman" w:cs="Calibri"/>
                <w:color w:val="000000"/>
                <w:sz w:val="22"/>
                <w:szCs w:val="22"/>
              </w:rPr>
              <w:t xml:space="preserve">If the </w:t>
            </w:r>
            <w:r w:rsidR="00F24D64">
              <w:rPr>
                <w:rFonts w:eastAsia="Times New Roman" w:cs="Calibri"/>
                <w:color w:val="000000"/>
                <w:sz w:val="22"/>
                <w:szCs w:val="22"/>
              </w:rPr>
              <w:t>business unit</w:t>
            </w:r>
            <w:r w:rsidRPr="00F05630">
              <w:rPr>
                <w:rFonts w:eastAsia="Times New Roman" w:cs="Calibri"/>
                <w:color w:val="000000"/>
                <w:sz w:val="22"/>
                <w:szCs w:val="22"/>
              </w:rPr>
              <w:t xml:space="preserve"> is 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>using</w:t>
            </w:r>
            <w:r w:rsidRPr="00F05630">
              <w:rPr>
                <w:rFonts w:eastAsia="Times New Roman" w:cs="Calibri"/>
                <w:color w:val="000000"/>
                <w:sz w:val="22"/>
                <w:szCs w:val="22"/>
              </w:rPr>
              <w:t xml:space="preserve"> an examination provided by an external vendor, an exam content description rather than a copy of the actual exam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 is to be provided</w:t>
            </w:r>
          </w:p>
          <w:p w14:paraId="6C56BDC9" w14:textId="0726A6B5" w:rsidR="00AC0070" w:rsidRPr="00F05630" w:rsidRDefault="00AC0070" w:rsidP="00F05630">
            <w:pPr>
              <w:pStyle w:val="ListParagraph"/>
              <w:numPr>
                <w:ilvl w:val="1"/>
                <w:numId w:val="2"/>
              </w:num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For all projects/assignments that are being used, an example of the assignment itself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BC812" w14:textId="77777777" w:rsidR="00880CB4" w:rsidRPr="00880CB4" w:rsidRDefault="00880CB4" w:rsidP="00880C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880CB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05630" w:rsidRPr="00880CB4" w14:paraId="5D8C028C" w14:textId="77777777" w:rsidTr="00042DD1">
        <w:trPr>
          <w:trHeight w:val="288"/>
        </w:trPr>
        <w:tc>
          <w:tcPr>
            <w:tcW w:w="9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EB66C" w14:textId="17DB35D6" w:rsidR="00F05630" w:rsidRPr="003026DA" w:rsidRDefault="00F05630" w:rsidP="003026DA">
            <w:pPr>
              <w:pStyle w:val="ListParagraph"/>
              <w:numPr>
                <w:ilvl w:val="0"/>
                <w:numId w:val="2"/>
              </w:num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05630">
              <w:rPr>
                <w:rFonts w:eastAsia="Times New Roman" w:cs="Calibri"/>
                <w:color w:val="000000"/>
                <w:sz w:val="22"/>
                <w:szCs w:val="22"/>
              </w:rPr>
              <w:t>blank copies of all evaluation rubrics associated with the direct measures of student learning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95203" w14:textId="77777777" w:rsidR="00F05630" w:rsidRPr="00880CB4" w:rsidRDefault="00F05630" w:rsidP="00880C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880CB4" w:rsidRPr="00880CB4" w14:paraId="6EDC55B2" w14:textId="77777777" w:rsidTr="00042DD1">
        <w:trPr>
          <w:trHeight w:val="288"/>
        </w:trPr>
        <w:tc>
          <w:tcPr>
            <w:tcW w:w="9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3E2B8" w14:textId="0108C15B" w:rsidR="00F05630" w:rsidRPr="00F05630" w:rsidRDefault="00880CB4" w:rsidP="00F05630">
            <w:pPr>
              <w:pStyle w:val="ListParagraph"/>
              <w:numPr>
                <w:ilvl w:val="0"/>
                <w:numId w:val="2"/>
              </w:num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05630">
              <w:rPr>
                <w:rFonts w:eastAsia="Times New Roman" w:cs="Calibri"/>
                <w:color w:val="000000"/>
                <w:sz w:val="22"/>
                <w:szCs w:val="22"/>
              </w:rPr>
              <w:t>blank copies of all indirect measures of student learning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D7633" w14:textId="77777777" w:rsidR="00880CB4" w:rsidRPr="00880CB4" w:rsidRDefault="00880CB4" w:rsidP="00880C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880CB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880CB4" w:rsidRPr="00880CB4" w14:paraId="0C997744" w14:textId="77777777" w:rsidTr="00FB0234">
        <w:trPr>
          <w:trHeight w:val="288"/>
        </w:trPr>
        <w:tc>
          <w:tcPr>
            <w:tcW w:w="9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07F55" w14:textId="22E71408" w:rsidR="00F05630" w:rsidRPr="00F05630" w:rsidRDefault="00880CB4" w:rsidP="00F05630">
            <w:pPr>
              <w:pStyle w:val="ListParagraph"/>
              <w:numPr>
                <w:ilvl w:val="0"/>
                <w:numId w:val="2"/>
              </w:num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05630">
              <w:rPr>
                <w:rFonts w:eastAsia="Times New Roman" w:cs="Calibri"/>
                <w:color w:val="000000"/>
                <w:sz w:val="22"/>
                <w:szCs w:val="22"/>
              </w:rPr>
              <w:t>blank copies of all operational assessment measures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1A87B" w14:textId="77777777" w:rsidR="00880CB4" w:rsidRPr="00880CB4" w:rsidRDefault="00880CB4" w:rsidP="00880C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880CB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B0234" w:rsidRPr="00880CB4" w14:paraId="04999D5E" w14:textId="77777777" w:rsidTr="00FB0234">
        <w:trPr>
          <w:trHeight w:val="288"/>
        </w:trPr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8D8E" w14:textId="77777777" w:rsidR="00FB0234" w:rsidRDefault="00FB0234" w:rsidP="00FB0234">
            <w:pPr>
              <w:pStyle w:val="ListParagraph"/>
              <w:numPr>
                <w:ilvl w:val="0"/>
                <w:numId w:val="2"/>
              </w:num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each relevant component of the</w:t>
            </w:r>
            <w:r w:rsidRPr="003026DA">
              <w:rPr>
                <w:rFonts w:eastAsia="Times New Roman" w:cs="Calibri"/>
                <w:color w:val="000000"/>
                <w:sz w:val="22"/>
                <w:szCs w:val="22"/>
              </w:rPr>
              <w:t xml:space="preserve"> assessment measures and rubrics 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(e.g. each question, evaluation criteria, etc.) clearly </w:t>
            </w:r>
            <w:r w:rsidRPr="003026DA">
              <w:rPr>
                <w:rFonts w:eastAsia="Times New Roman" w:cs="Calibri"/>
                <w:color w:val="000000"/>
                <w:sz w:val="22"/>
                <w:szCs w:val="22"/>
              </w:rPr>
              <w:t>i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>dentifies</w:t>
            </w:r>
            <w:r w:rsidRPr="003026DA">
              <w:rPr>
                <w:rFonts w:eastAsia="Times New Roman" w:cs="Calibri"/>
                <w:color w:val="000000"/>
                <w:sz w:val="22"/>
                <w:szCs w:val="22"/>
              </w:rPr>
              <w:t xml:space="preserve"> which ISLO/IOO 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>it is directly evaluating</w:t>
            </w:r>
            <w:r w:rsidRPr="003026DA">
              <w:rPr>
                <w:rFonts w:eastAsia="Times New Roman" w:cs="Calibri"/>
                <w:color w:val="000000"/>
                <w:sz w:val="22"/>
                <w:szCs w:val="22"/>
              </w:rPr>
              <w:t>. Not all line items need to be mapped, but all ISLOs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>/IOOs</w:t>
            </w:r>
            <w:r w:rsidRPr="003026DA">
              <w:rPr>
                <w:rFonts w:eastAsia="Times New Roman" w:cs="Calibri"/>
                <w:color w:val="000000"/>
                <w:sz w:val="22"/>
                <w:szCs w:val="22"/>
              </w:rPr>
              <w:t xml:space="preserve"> the tool is meant to evaluate must be identified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 on the tool itself</w:t>
            </w:r>
          </w:p>
          <w:p w14:paraId="71C27D59" w14:textId="081741ED" w:rsidR="00FB0234" w:rsidRPr="00F05630" w:rsidRDefault="00FB0234" w:rsidP="00FB0234">
            <w:pPr>
              <w:pStyle w:val="ListParagraph"/>
              <w:numPr>
                <w:ilvl w:val="1"/>
                <w:numId w:val="2"/>
              </w:num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56DDD">
              <w:rPr>
                <w:rFonts w:eastAsia="Times New Roman" w:cs="Calibri"/>
                <w:color w:val="000000"/>
                <w:sz w:val="22"/>
                <w:szCs w:val="22"/>
              </w:rPr>
              <w:t>i.e.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 </w:t>
            </w:r>
            <w:r w:rsidRPr="00F56DDD">
              <w:rPr>
                <w:rFonts w:eastAsia="Times New Roman" w:cs="Calibri"/>
                <w:color w:val="000000"/>
                <w:sz w:val="22"/>
                <w:szCs w:val="22"/>
              </w:rPr>
              <w:t xml:space="preserve">next to each 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>assessment/</w:t>
            </w:r>
            <w:r w:rsidRPr="00F56DDD">
              <w:rPr>
                <w:rFonts w:eastAsia="Times New Roman" w:cs="Calibri"/>
                <w:color w:val="000000"/>
                <w:sz w:val="22"/>
                <w:szCs w:val="22"/>
              </w:rPr>
              <w:t xml:space="preserve">rubric component, make note 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>o</w:t>
            </w:r>
            <w:r w:rsidRPr="00F56DDD">
              <w:rPr>
                <w:rFonts w:eastAsia="Times New Roman" w:cs="Calibri"/>
                <w:color w:val="000000"/>
                <w:sz w:val="22"/>
                <w:szCs w:val="22"/>
              </w:rPr>
              <w:t>f the ISLO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>/IOO</w:t>
            </w:r>
            <w:r w:rsidRPr="00F56DDD">
              <w:rPr>
                <w:rFonts w:eastAsia="Times New Roman" w:cs="Calibri"/>
                <w:color w:val="000000"/>
                <w:sz w:val="22"/>
                <w:szCs w:val="22"/>
              </w:rPr>
              <w:t xml:space="preserve"> being evaluated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FAC81" w14:textId="77777777" w:rsidR="00FB0234" w:rsidRPr="00880CB4" w:rsidRDefault="00FB0234" w:rsidP="00880CB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</w:tbl>
    <w:p w14:paraId="31EB234D" w14:textId="74C4764B" w:rsidR="00880CB4" w:rsidRDefault="00880CB4" w:rsidP="00AB23CA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6759B0" w:rsidRPr="00DF6150" w14:paraId="3C32715B" w14:textId="77777777" w:rsidTr="00042DD1">
        <w:tc>
          <w:tcPr>
            <w:tcW w:w="10975" w:type="dxa"/>
            <w:shd w:val="clear" w:color="auto" w:fill="8EAADB" w:themeFill="accent1" w:themeFillTint="99"/>
          </w:tcPr>
          <w:p w14:paraId="2DBCB9D8" w14:textId="4A68BDAD" w:rsidR="006759B0" w:rsidRPr="00DF6150" w:rsidRDefault="004B36AF" w:rsidP="00931D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Notes/</w:t>
            </w:r>
            <w:r w:rsidR="006759B0" w:rsidRPr="00DF6150">
              <w:rPr>
                <w:b/>
                <w:bCs/>
                <w:sz w:val="22"/>
                <w:szCs w:val="22"/>
              </w:rPr>
              <w:t xml:space="preserve">Takeaways/Actions for </w:t>
            </w:r>
            <w:r w:rsidR="006759B0" w:rsidRPr="00F77B1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 xml:space="preserve">Section </w:t>
            </w:r>
            <w:r w:rsidR="006759B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V: Appendices</w:t>
            </w:r>
          </w:p>
        </w:tc>
      </w:tr>
      <w:tr w:rsidR="006759B0" w14:paraId="2FEB0900" w14:textId="77777777" w:rsidTr="00042DD1">
        <w:trPr>
          <w:trHeight w:hRule="exact" w:val="2304"/>
        </w:trPr>
        <w:tc>
          <w:tcPr>
            <w:tcW w:w="10975" w:type="dxa"/>
          </w:tcPr>
          <w:p w14:paraId="76337A62" w14:textId="77777777" w:rsidR="006759B0" w:rsidRDefault="006759B0" w:rsidP="00931DF6"/>
        </w:tc>
      </w:tr>
    </w:tbl>
    <w:p w14:paraId="2FFB1EBF" w14:textId="77777777" w:rsidR="006759B0" w:rsidRDefault="006759B0" w:rsidP="00AB23CA"/>
    <w:sectPr w:rsidR="006759B0" w:rsidSect="00F05630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F0D6" w14:textId="77777777" w:rsidR="00227A13" w:rsidRDefault="00227A13" w:rsidP="00E03AFF">
      <w:r>
        <w:separator/>
      </w:r>
    </w:p>
  </w:endnote>
  <w:endnote w:type="continuationSeparator" w:id="0">
    <w:p w14:paraId="67E9E430" w14:textId="77777777" w:rsidR="00227A13" w:rsidRDefault="00227A13" w:rsidP="00E0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7586" w14:textId="73B72F9A" w:rsidR="00E03AFF" w:rsidRDefault="004B36AF" w:rsidP="00E53839">
    <w:pPr>
      <w:pStyle w:val="Footer"/>
      <w:tabs>
        <w:tab w:val="clear" w:pos="9360"/>
        <w:tab w:val="right" w:pos="10620"/>
      </w:tabs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0B5C88" wp14:editId="6CE991F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8E045F7" id="Rectangle 452" o:spid="_x0000_s1026" style="position:absolute;margin-left:0;margin-top:0;width:579.9pt;height:750.3pt;z-index:25165875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  <w:t>OAP Checklist 202</w:t>
    </w:r>
    <w:r w:rsidR="00D16228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 w:rsidR="00807DC7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983A" w14:textId="77777777" w:rsidR="00227A13" w:rsidRDefault="00227A13" w:rsidP="00E03AFF">
      <w:r>
        <w:separator/>
      </w:r>
    </w:p>
  </w:footnote>
  <w:footnote w:type="continuationSeparator" w:id="0">
    <w:p w14:paraId="188AEBE7" w14:textId="77777777" w:rsidR="00227A13" w:rsidRDefault="00227A13" w:rsidP="00E03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4391A"/>
    <w:multiLevelType w:val="hybridMultilevel"/>
    <w:tmpl w:val="D6C2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35448"/>
    <w:multiLevelType w:val="hybridMultilevel"/>
    <w:tmpl w:val="C3F655A2"/>
    <w:lvl w:ilvl="0" w:tplc="728CC0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B7D0D"/>
    <w:multiLevelType w:val="hybridMultilevel"/>
    <w:tmpl w:val="C1A093FE"/>
    <w:lvl w:ilvl="0" w:tplc="C8CE3C2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A4505A"/>
    <w:multiLevelType w:val="hybridMultilevel"/>
    <w:tmpl w:val="A296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75416">
    <w:abstractNumId w:val="0"/>
  </w:num>
  <w:num w:numId="2" w16cid:durableId="18313034">
    <w:abstractNumId w:val="3"/>
  </w:num>
  <w:num w:numId="3" w16cid:durableId="1470055827">
    <w:abstractNumId w:val="2"/>
  </w:num>
  <w:num w:numId="4" w16cid:durableId="2038463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13"/>
    <w:rsid w:val="00042DD1"/>
    <w:rsid w:val="00081373"/>
    <w:rsid w:val="001A0EE8"/>
    <w:rsid w:val="00201867"/>
    <w:rsid w:val="0021004F"/>
    <w:rsid w:val="00224BC7"/>
    <w:rsid w:val="00227A13"/>
    <w:rsid w:val="002309E2"/>
    <w:rsid w:val="002B0F76"/>
    <w:rsid w:val="002D48EE"/>
    <w:rsid w:val="0030244C"/>
    <w:rsid w:val="003026DA"/>
    <w:rsid w:val="003351A6"/>
    <w:rsid w:val="003F4B88"/>
    <w:rsid w:val="004B36AF"/>
    <w:rsid w:val="004B496B"/>
    <w:rsid w:val="005061F2"/>
    <w:rsid w:val="00515F2F"/>
    <w:rsid w:val="005B7888"/>
    <w:rsid w:val="005D7121"/>
    <w:rsid w:val="005E6A84"/>
    <w:rsid w:val="006759B0"/>
    <w:rsid w:val="006A10D3"/>
    <w:rsid w:val="006D3E0C"/>
    <w:rsid w:val="006D6B60"/>
    <w:rsid w:val="0072232D"/>
    <w:rsid w:val="00792C01"/>
    <w:rsid w:val="007F7028"/>
    <w:rsid w:val="00807DC7"/>
    <w:rsid w:val="00854B7A"/>
    <w:rsid w:val="00880CB4"/>
    <w:rsid w:val="00891DAA"/>
    <w:rsid w:val="008C2C37"/>
    <w:rsid w:val="009226DC"/>
    <w:rsid w:val="0093696D"/>
    <w:rsid w:val="009705BF"/>
    <w:rsid w:val="0097258B"/>
    <w:rsid w:val="00A17AD8"/>
    <w:rsid w:val="00A47B0A"/>
    <w:rsid w:val="00AB23CA"/>
    <w:rsid w:val="00AC0070"/>
    <w:rsid w:val="00AD1C48"/>
    <w:rsid w:val="00B066A5"/>
    <w:rsid w:val="00B319CC"/>
    <w:rsid w:val="00B85F69"/>
    <w:rsid w:val="00C36300"/>
    <w:rsid w:val="00C51EC2"/>
    <w:rsid w:val="00C647C8"/>
    <w:rsid w:val="00D0015B"/>
    <w:rsid w:val="00D16228"/>
    <w:rsid w:val="00D436C4"/>
    <w:rsid w:val="00DD1BBF"/>
    <w:rsid w:val="00DF6150"/>
    <w:rsid w:val="00E03AFF"/>
    <w:rsid w:val="00E52703"/>
    <w:rsid w:val="00E53839"/>
    <w:rsid w:val="00E55004"/>
    <w:rsid w:val="00EB55F3"/>
    <w:rsid w:val="00EB63F0"/>
    <w:rsid w:val="00F05630"/>
    <w:rsid w:val="00F24D64"/>
    <w:rsid w:val="00F40965"/>
    <w:rsid w:val="00F56DDD"/>
    <w:rsid w:val="00F661F9"/>
    <w:rsid w:val="00F77B13"/>
    <w:rsid w:val="00F90A1F"/>
    <w:rsid w:val="00FB0234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5E95D3"/>
  <w15:chartTrackingRefBased/>
  <w15:docId w15:val="{960270B1-C172-4285-B005-AFD4AE11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3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AFF"/>
  </w:style>
  <w:style w:type="paragraph" w:styleId="Footer">
    <w:name w:val="footer"/>
    <w:basedOn w:val="Normal"/>
    <w:link w:val="FooterChar"/>
    <w:uiPriority w:val="99"/>
    <w:unhideWhenUsed/>
    <w:rsid w:val="00E03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AFF"/>
  </w:style>
  <w:style w:type="table" w:styleId="TableGrid">
    <w:name w:val="Table Grid"/>
    <w:basedOn w:val="TableNormal"/>
    <w:uiPriority w:val="39"/>
    <w:rsid w:val="00DF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6" ma:contentTypeDescription="Create a new document." ma:contentTypeScope="" ma:versionID="077abc2a16c5f407da9df650a47acf90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728872cf88a835676e3a012be0073d7a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19CA4F-3358-4D04-939F-6292EFCF9135}">
  <ds:schemaRefs>
    <ds:schemaRef ds:uri="http://schemas.microsoft.com/office/2006/metadata/properties"/>
    <ds:schemaRef ds:uri="http://schemas.microsoft.com/office/infopath/2007/PartnerControls"/>
    <ds:schemaRef ds:uri="8ecdcbb4-66fa-4016-a459-d7eee93cda9a"/>
    <ds:schemaRef ds:uri="67e74b70-3881-4846-9d7b-854ef52f7195"/>
  </ds:schemaRefs>
</ds:datastoreItem>
</file>

<file path=customXml/itemProps2.xml><?xml version="1.0" encoding="utf-8"?>
<ds:datastoreItem xmlns:ds="http://schemas.openxmlformats.org/officeDocument/2006/customXml" ds:itemID="{1D514467-391B-4FC4-BCD9-BA313F8C61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80A9AA-372B-4CCA-B316-D667B94D1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b70-3881-4846-9d7b-854ef52f7195"/>
    <ds:schemaRef ds:uri="8ecdcbb4-66fa-4016-a459-d7eee93cd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95FB3B-FEB6-48DF-8846-EC97F6BED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4</cp:revision>
  <dcterms:created xsi:type="dcterms:W3CDTF">2022-07-28T17:30:00Z</dcterms:created>
  <dcterms:modified xsi:type="dcterms:W3CDTF">2022-08-01T13:52:00Z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  <property fmtid="{D5CDD505-2E9C-101B-9397-08002B2CF9AE}" pid="3" name="Order">
    <vt:r8>4265000</vt:r8>
  </property>
  <property fmtid="{D5CDD505-2E9C-101B-9397-08002B2CF9AE}" pid="4" name="MediaServiceImageTags">
    <vt:lpwstr/>
  </property>
</Properties>
</file>