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4D63B" w14:textId="77777777" w:rsidR="00473DB6" w:rsidRDefault="001865DE" w:rsidP="00FF6E67">
      <w:pPr>
        <w:jc w:val="center"/>
      </w:pPr>
      <w:r w:rsidRPr="001865DE">
        <w:rPr>
          <w:noProof/>
        </w:rPr>
        <w:drawing>
          <wp:anchor distT="0" distB="0" distL="114300" distR="114300" simplePos="0" relativeHeight="251656192" behindDoc="0" locked="0" layoutInCell="1" allowOverlap="1" wp14:anchorId="083E4B1C" wp14:editId="17DB64D1">
            <wp:simplePos x="0" y="0"/>
            <wp:positionH relativeFrom="page">
              <wp:posOffset>1748333</wp:posOffset>
            </wp:positionH>
            <wp:positionV relativeFrom="page">
              <wp:posOffset>789642</wp:posOffset>
            </wp:positionV>
            <wp:extent cx="4279392" cy="1151619"/>
            <wp:effectExtent l="0" t="0" r="698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279392" cy="11516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95B3C79" w14:textId="77777777" w:rsidR="001865DE" w:rsidRDefault="001865DE" w:rsidP="00FF6E67">
      <w:pPr>
        <w:ind w:left="0"/>
        <w:jc w:val="center"/>
        <w:rPr>
          <w:b/>
        </w:rPr>
      </w:pPr>
    </w:p>
    <w:p w14:paraId="5C2BB9C8" w14:textId="77777777" w:rsidR="001865DE" w:rsidRDefault="001865DE" w:rsidP="00FF6E67">
      <w:pPr>
        <w:ind w:left="0"/>
        <w:jc w:val="center"/>
        <w:rPr>
          <w:b/>
        </w:rPr>
      </w:pPr>
    </w:p>
    <w:p w14:paraId="148326F8" w14:textId="77777777" w:rsidR="001865DE" w:rsidRDefault="001865DE" w:rsidP="00FF6E67">
      <w:pPr>
        <w:ind w:left="0"/>
        <w:jc w:val="center"/>
        <w:rPr>
          <w:b/>
        </w:rPr>
      </w:pPr>
    </w:p>
    <w:p w14:paraId="067AAE7F" w14:textId="77777777" w:rsidR="001865DE" w:rsidRDefault="001865DE" w:rsidP="00FF6E67">
      <w:pPr>
        <w:ind w:left="0"/>
        <w:jc w:val="center"/>
        <w:rPr>
          <w:b/>
        </w:rPr>
      </w:pPr>
    </w:p>
    <w:p w14:paraId="2B84ECAB" w14:textId="77777777" w:rsidR="001865DE" w:rsidRDefault="001865DE" w:rsidP="00FF6E67">
      <w:pPr>
        <w:ind w:left="0"/>
        <w:jc w:val="center"/>
        <w:rPr>
          <w:b/>
        </w:rPr>
      </w:pPr>
    </w:p>
    <w:p w14:paraId="3342EE49" w14:textId="1E870798" w:rsidR="001865DE" w:rsidRDefault="001865DE" w:rsidP="604C6CA9">
      <w:pPr>
        <w:ind w:left="0"/>
        <w:jc w:val="center"/>
        <w:rPr>
          <w:b/>
          <w:bCs/>
        </w:rPr>
      </w:pPr>
    </w:p>
    <w:p w14:paraId="29BC3486" w14:textId="77777777" w:rsidR="00812EEE" w:rsidRPr="00812EEE" w:rsidRDefault="00812EEE" w:rsidP="004A5562">
      <w:pPr>
        <w:ind w:left="0"/>
        <w:jc w:val="center"/>
        <w:rPr>
          <w:sz w:val="28"/>
          <w:szCs w:val="28"/>
        </w:rPr>
      </w:pPr>
    </w:p>
    <w:p w14:paraId="3437AF87" w14:textId="69E2289D" w:rsidR="00FF6E67" w:rsidRDefault="750D2CF7" w:rsidP="3F2FABD2">
      <w:pPr>
        <w:ind w:left="0"/>
        <w:jc w:val="center"/>
        <w:rPr>
          <w:b/>
          <w:bCs/>
          <w:sz w:val="28"/>
          <w:szCs w:val="28"/>
        </w:rPr>
      </w:pPr>
      <w:r w:rsidRPr="750D2CF7">
        <w:rPr>
          <w:b/>
          <w:bCs/>
          <w:sz w:val="28"/>
          <w:szCs w:val="28"/>
        </w:rPr>
        <w:t>BOARD OF COMMISSIONERS MEETING</w:t>
      </w:r>
    </w:p>
    <w:p w14:paraId="37A640C4" w14:textId="1350D87F" w:rsidR="750D2CF7" w:rsidRDefault="00773868" w:rsidP="750D2CF7">
      <w:pPr>
        <w:spacing w:line="259" w:lineRule="auto"/>
        <w:ind w:left="0"/>
        <w:jc w:val="center"/>
      </w:pPr>
      <w:r>
        <w:rPr>
          <w:b/>
          <w:bCs/>
          <w:sz w:val="28"/>
          <w:szCs w:val="28"/>
        </w:rPr>
        <w:t>Minutes</w:t>
      </w:r>
    </w:p>
    <w:p w14:paraId="5755A662" w14:textId="77777777" w:rsidR="00EF4879" w:rsidRDefault="00EF4879" w:rsidP="004A5562">
      <w:pPr>
        <w:ind w:left="0"/>
        <w:jc w:val="center"/>
      </w:pPr>
    </w:p>
    <w:p w14:paraId="0B30D694" w14:textId="56ADD84F" w:rsidR="750D2CF7" w:rsidRDefault="008B12FA" w:rsidP="750D2CF7">
      <w:pPr>
        <w:spacing w:line="259" w:lineRule="auto"/>
        <w:ind w:left="0"/>
        <w:jc w:val="center"/>
      </w:pPr>
      <w:r>
        <w:rPr>
          <w:b/>
          <w:bCs/>
          <w:sz w:val="24"/>
          <w:szCs w:val="24"/>
        </w:rPr>
        <w:t>Virtual via GoToMeeting</w:t>
      </w:r>
    </w:p>
    <w:p w14:paraId="5C047D42" w14:textId="3C63B965" w:rsidR="750D2CF7" w:rsidRDefault="009E6462" w:rsidP="750D2CF7">
      <w:pPr>
        <w:spacing w:line="259" w:lineRule="auto"/>
        <w:ind w:left="0"/>
        <w:jc w:val="center"/>
        <w:rPr>
          <w:b/>
          <w:bCs/>
          <w:sz w:val="24"/>
          <w:szCs w:val="24"/>
        </w:rPr>
      </w:pPr>
      <w:r>
        <w:rPr>
          <w:b/>
          <w:bCs/>
          <w:sz w:val="24"/>
          <w:szCs w:val="24"/>
        </w:rPr>
        <w:t>March 30-31, 2020</w:t>
      </w:r>
    </w:p>
    <w:p w14:paraId="7C7D78D3" w14:textId="77777777" w:rsidR="0016508F" w:rsidRPr="0016508F" w:rsidRDefault="003260B3" w:rsidP="00FF6E67">
      <w:pPr>
        <w:ind w:left="0"/>
        <w:jc w:val="center"/>
      </w:pPr>
      <w:r>
        <w:rPr>
          <w:b/>
          <w:color w:val="FFFFFF" w:themeColor="background1"/>
        </w:rPr>
        <w:t xml:space="preserve"> </w:t>
      </w:r>
    </w:p>
    <w:tbl>
      <w:tblPr>
        <w:tblStyle w:val="TableGrid"/>
        <w:tblW w:w="9370"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447"/>
        <w:gridCol w:w="6390"/>
        <w:gridCol w:w="2533"/>
      </w:tblGrid>
      <w:tr w:rsidR="00876509" w:rsidRPr="00EF4879" w14:paraId="516FC954" w14:textId="77777777" w:rsidTr="604C6CA9">
        <w:trPr>
          <w:cantSplit/>
          <w:trHeight w:val="576"/>
          <w:tblHeader/>
          <w:jc w:val="center"/>
        </w:trPr>
        <w:tc>
          <w:tcPr>
            <w:tcW w:w="447" w:type="dxa"/>
            <w:tcBorders>
              <w:top w:val="single" w:sz="2" w:space="0" w:color="auto"/>
              <w:bottom w:val="nil"/>
              <w:right w:val="single" w:sz="2" w:space="0" w:color="FFFFFF" w:themeColor="background1"/>
            </w:tcBorders>
            <w:shd w:val="clear" w:color="auto" w:fill="002060"/>
            <w:tcMar>
              <w:top w:w="0" w:type="dxa"/>
              <w:bottom w:w="0" w:type="dxa"/>
            </w:tcMar>
            <w:vAlign w:val="center"/>
          </w:tcPr>
          <w:p w14:paraId="74911F19" w14:textId="77777777" w:rsidR="00876509" w:rsidRDefault="3F2FABD2" w:rsidP="3F2FABD2">
            <w:pPr>
              <w:ind w:left="0"/>
              <w:jc w:val="center"/>
              <w:rPr>
                <w:b/>
                <w:bCs/>
              </w:rPr>
            </w:pPr>
            <w:r w:rsidRPr="3F2FABD2">
              <w:rPr>
                <w:b/>
                <w:bCs/>
              </w:rPr>
              <w:t>#</w:t>
            </w:r>
          </w:p>
        </w:tc>
        <w:tc>
          <w:tcPr>
            <w:tcW w:w="6390" w:type="dxa"/>
            <w:tcBorders>
              <w:top w:val="single" w:sz="2" w:space="0" w:color="auto"/>
              <w:left w:val="single" w:sz="2" w:space="0" w:color="FFFFFF" w:themeColor="background1"/>
              <w:bottom w:val="nil"/>
              <w:right w:val="single" w:sz="2" w:space="0" w:color="FFFFFF" w:themeColor="background1"/>
            </w:tcBorders>
            <w:shd w:val="clear" w:color="auto" w:fill="002060"/>
            <w:tcMar>
              <w:top w:w="0" w:type="dxa"/>
              <w:left w:w="0" w:type="dxa"/>
              <w:bottom w:w="0" w:type="dxa"/>
              <w:right w:w="0" w:type="dxa"/>
            </w:tcMar>
            <w:vAlign w:val="center"/>
          </w:tcPr>
          <w:p w14:paraId="7E630A60" w14:textId="77777777" w:rsidR="00876509" w:rsidRPr="00EF4879" w:rsidRDefault="3F2FABD2" w:rsidP="3F2FABD2">
            <w:pPr>
              <w:ind w:left="0"/>
              <w:jc w:val="center"/>
              <w:rPr>
                <w:b/>
                <w:bCs/>
              </w:rPr>
            </w:pPr>
            <w:r w:rsidRPr="3F2FABD2">
              <w:rPr>
                <w:b/>
                <w:bCs/>
              </w:rPr>
              <w:t>Item</w:t>
            </w:r>
          </w:p>
        </w:tc>
        <w:tc>
          <w:tcPr>
            <w:tcW w:w="2533" w:type="dxa"/>
            <w:tcBorders>
              <w:top w:val="single" w:sz="2" w:space="0" w:color="auto"/>
              <w:left w:val="single" w:sz="2" w:space="0" w:color="FFFFFF" w:themeColor="background1"/>
              <w:bottom w:val="nil"/>
            </w:tcBorders>
            <w:shd w:val="clear" w:color="auto" w:fill="002060"/>
            <w:tcMar>
              <w:top w:w="0" w:type="dxa"/>
              <w:left w:w="0" w:type="dxa"/>
              <w:bottom w:w="0" w:type="dxa"/>
              <w:right w:w="0" w:type="dxa"/>
            </w:tcMar>
            <w:vAlign w:val="center"/>
          </w:tcPr>
          <w:p w14:paraId="3891EE4D" w14:textId="233AC95E" w:rsidR="00876509" w:rsidRPr="00EF4879" w:rsidRDefault="00F8525F" w:rsidP="3F2FABD2">
            <w:pPr>
              <w:ind w:left="0"/>
              <w:jc w:val="center"/>
              <w:rPr>
                <w:b/>
                <w:bCs/>
              </w:rPr>
            </w:pPr>
            <w:r>
              <w:rPr>
                <w:b/>
                <w:bCs/>
              </w:rPr>
              <w:t>Expirations/Due Dates</w:t>
            </w:r>
          </w:p>
        </w:tc>
      </w:tr>
      <w:tr w:rsidR="0027780D" w:rsidRPr="00EF4879" w14:paraId="4062100E" w14:textId="77777777" w:rsidTr="604C6CA9">
        <w:trPr>
          <w:cantSplit/>
          <w:trHeight w:val="432"/>
          <w:jc w:val="center"/>
        </w:trPr>
        <w:tc>
          <w:tcPr>
            <w:tcW w:w="447" w:type="dxa"/>
            <w:tcBorders>
              <w:top w:val="nil"/>
            </w:tcBorders>
            <w:shd w:val="clear" w:color="auto" w:fill="DBE5F1" w:themeFill="accent1" w:themeFillTint="33"/>
            <w:tcMar>
              <w:top w:w="0" w:type="dxa"/>
              <w:bottom w:w="0" w:type="dxa"/>
            </w:tcMar>
            <w:vAlign w:val="center"/>
          </w:tcPr>
          <w:p w14:paraId="488B6EB0" w14:textId="77777777" w:rsidR="0027780D" w:rsidRPr="00EF4879" w:rsidRDefault="3F2FABD2" w:rsidP="3F2FABD2">
            <w:pPr>
              <w:ind w:left="0"/>
              <w:jc w:val="center"/>
              <w:rPr>
                <w:b/>
                <w:bCs/>
              </w:rPr>
            </w:pPr>
            <w:r w:rsidRPr="3F2FABD2">
              <w:rPr>
                <w:b/>
                <w:bCs/>
              </w:rPr>
              <w:t>A</w:t>
            </w:r>
          </w:p>
        </w:tc>
        <w:tc>
          <w:tcPr>
            <w:tcW w:w="8923" w:type="dxa"/>
            <w:gridSpan w:val="2"/>
            <w:tcBorders>
              <w:top w:val="nil"/>
            </w:tcBorders>
            <w:shd w:val="clear" w:color="auto" w:fill="DBE5F1" w:themeFill="accent1" w:themeFillTint="33"/>
            <w:tcMar>
              <w:top w:w="0" w:type="dxa"/>
              <w:bottom w:w="0" w:type="dxa"/>
            </w:tcMar>
            <w:vAlign w:val="center"/>
          </w:tcPr>
          <w:p w14:paraId="2822213E" w14:textId="77777777" w:rsidR="0027780D" w:rsidRPr="00EF4879" w:rsidRDefault="3F2FABD2" w:rsidP="3F2FABD2">
            <w:pPr>
              <w:ind w:left="0"/>
              <w:jc w:val="center"/>
              <w:rPr>
                <w:b/>
                <w:bCs/>
              </w:rPr>
            </w:pPr>
            <w:r w:rsidRPr="3F2FABD2">
              <w:rPr>
                <w:b/>
                <w:bCs/>
              </w:rPr>
              <w:t>PRELIMINARY BUSINESS</w:t>
            </w:r>
          </w:p>
        </w:tc>
      </w:tr>
      <w:tr w:rsidR="00EF4879" w:rsidRPr="00EF4879" w14:paraId="42DBA063" w14:textId="77777777" w:rsidTr="604C6CA9">
        <w:trPr>
          <w:cantSplit/>
          <w:trHeight w:val="288"/>
          <w:jc w:val="center"/>
        </w:trPr>
        <w:tc>
          <w:tcPr>
            <w:tcW w:w="447" w:type="dxa"/>
            <w:tcMar>
              <w:top w:w="43" w:type="dxa"/>
              <w:left w:w="115" w:type="dxa"/>
              <w:bottom w:w="43" w:type="dxa"/>
              <w:right w:w="115" w:type="dxa"/>
            </w:tcMar>
            <w:vAlign w:val="center"/>
          </w:tcPr>
          <w:p w14:paraId="0D0EBC56" w14:textId="77777777" w:rsidR="00EF4879" w:rsidRPr="00EF4879" w:rsidRDefault="30C6D0A9" w:rsidP="00F81927">
            <w:pPr>
              <w:ind w:left="0"/>
              <w:jc w:val="center"/>
            </w:pPr>
            <w:r>
              <w:t>1</w:t>
            </w:r>
          </w:p>
        </w:tc>
        <w:tc>
          <w:tcPr>
            <w:tcW w:w="6390" w:type="dxa"/>
            <w:tcMar>
              <w:top w:w="43" w:type="dxa"/>
              <w:left w:w="115" w:type="dxa"/>
              <w:bottom w:w="43" w:type="dxa"/>
              <w:right w:w="115" w:type="dxa"/>
            </w:tcMar>
            <w:vAlign w:val="center"/>
          </w:tcPr>
          <w:p w14:paraId="008C3DA4" w14:textId="77777777" w:rsidR="00F8525F" w:rsidRDefault="00F8525F" w:rsidP="00F81927">
            <w:pPr>
              <w:ind w:left="0"/>
            </w:pPr>
            <w:r>
              <w:t>The March 30, 2020 meeting was called to order at 11:01 am (EDT) and adjourned at 3:52 (EDT)</w:t>
            </w:r>
          </w:p>
          <w:p w14:paraId="095BDB27" w14:textId="3516FDEE" w:rsidR="00EF4879" w:rsidRPr="00EF4879" w:rsidRDefault="00F8525F" w:rsidP="00F81927">
            <w:pPr>
              <w:ind w:left="0"/>
            </w:pPr>
            <w:r>
              <w:t xml:space="preserve">The March 31, 2020 meeting was called to order at </w:t>
            </w:r>
            <w:r w:rsidR="00A35059">
              <w:t xml:space="preserve">11:00 </w:t>
            </w:r>
            <w:r>
              <w:t>(</w:t>
            </w:r>
            <w:r w:rsidR="00A35059">
              <w:t>EDT</w:t>
            </w:r>
            <w:r>
              <w:t>), the BOC entered executive session at 12:15 (EDT) and came out at 12:45 (EDT) – no staff were present during this time, the meeting adjourned at 12:55 (EDT)</w:t>
            </w:r>
          </w:p>
        </w:tc>
        <w:tc>
          <w:tcPr>
            <w:tcW w:w="2533" w:type="dxa"/>
            <w:tcMar>
              <w:top w:w="43" w:type="dxa"/>
              <w:left w:w="115" w:type="dxa"/>
              <w:bottom w:w="43" w:type="dxa"/>
              <w:right w:w="115" w:type="dxa"/>
            </w:tcMar>
            <w:vAlign w:val="center"/>
          </w:tcPr>
          <w:p w14:paraId="23F32B94" w14:textId="214BF2E4" w:rsidR="00EF4879" w:rsidRPr="00EF4879" w:rsidRDefault="00EF4879" w:rsidP="00B37711">
            <w:pPr>
              <w:ind w:left="0"/>
            </w:pPr>
          </w:p>
        </w:tc>
      </w:tr>
      <w:tr w:rsidR="00CE6EA4" w:rsidRPr="00EF4879" w14:paraId="67A4B5DD" w14:textId="77777777" w:rsidTr="604C6CA9">
        <w:trPr>
          <w:cantSplit/>
          <w:trHeight w:val="432"/>
          <w:jc w:val="center"/>
        </w:trPr>
        <w:tc>
          <w:tcPr>
            <w:tcW w:w="447" w:type="dxa"/>
            <w:tcMar>
              <w:top w:w="43" w:type="dxa"/>
              <w:left w:w="115" w:type="dxa"/>
              <w:bottom w:w="43" w:type="dxa"/>
              <w:right w:w="115" w:type="dxa"/>
            </w:tcMar>
          </w:tcPr>
          <w:p w14:paraId="7EA4C4B6" w14:textId="77777777" w:rsidR="00CE6EA4" w:rsidRPr="00EF4879" w:rsidRDefault="30C6D0A9" w:rsidP="00CE6EA4">
            <w:pPr>
              <w:ind w:left="0"/>
              <w:jc w:val="center"/>
            </w:pPr>
            <w:r>
              <w:t>2</w:t>
            </w:r>
          </w:p>
        </w:tc>
        <w:tc>
          <w:tcPr>
            <w:tcW w:w="6390" w:type="dxa"/>
            <w:tcMar>
              <w:top w:w="43" w:type="dxa"/>
              <w:left w:w="115" w:type="dxa"/>
              <w:bottom w:w="43" w:type="dxa"/>
              <w:right w:w="115" w:type="dxa"/>
            </w:tcMar>
          </w:tcPr>
          <w:p w14:paraId="121B76A7" w14:textId="77777777" w:rsidR="00CE6EA4" w:rsidRDefault="3F2FABD2" w:rsidP="00CE6EA4">
            <w:pPr>
              <w:ind w:left="0"/>
            </w:pPr>
            <w:r>
              <w:t>Recording of Attendance:</w:t>
            </w:r>
          </w:p>
          <w:p w14:paraId="42A393F3" w14:textId="77777777" w:rsidR="00CE6EA4" w:rsidRDefault="00CE6EA4" w:rsidP="00CE6EA4">
            <w:pPr>
              <w:ind w:left="0"/>
            </w:pPr>
          </w:p>
          <w:p w14:paraId="186F9C5C" w14:textId="77777777" w:rsidR="00CE6EA4" w:rsidRPr="00F81927" w:rsidRDefault="3F2FABD2" w:rsidP="3F2FABD2">
            <w:pPr>
              <w:ind w:left="0"/>
              <w:rPr>
                <w:i/>
                <w:iCs/>
              </w:rPr>
            </w:pPr>
            <w:r w:rsidRPr="3F2FABD2">
              <w:rPr>
                <w:i/>
                <w:iCs/>
              </w:rPr>
              <w:t>Commissioners:</w:t>
            </w:r>
          </w:p>
          <w:p w14:paraId="2A525880" w14:textId="33A061D5" w:rsidR="00CE6EA4" w:rsidRDefault="00CE6EA4" w:rsidP="001977CF">
            <w:pPr>
              <w:pStyle w:val="ListParagraph"/>
              <w:numPr>
                <w:ilvl w:val="1"/>
                <w:numId w:val="3"/>
              </w:numPr>
              <w:spacing w:before="60"/>
              <w:ind w:left="288" w:hanging="288"/>
              <w:contextualSpacing w:val="0"/>
            </w:pPr>
            <w:r>
              <w:t>Hafford, Patrick</w:t>
            </w:r>
            <w:r w:rsidR="008B709F">
              <w:t xml:space="preserve"> (Chair)</w:t>
            </w:r>
            <w:r>
              <w:tab/>
            </w:r>
            <w:r w:rsidR="00591BD0">
              <w:rPr>
                <w:rFonts w:cstheme="minorHAnsi"/>
              </w:rPr>
              <w:sym w:font="Wingdings" w:char="F078"/>
            </w:r>
            <w:r w:rsidR="00365B11" w:rsidRPr="00EF4879">
              <w:t>Present</w:t>
            </w:r>
            <w:r w:rsidRPr="00EF4879">
              <w:tab/>
            </w:r>
            <w:r w:rsidRPr="00EF4879">
              <w:sym w:font="Wingdings" w:char="F072"/>
            </w:r>
            <w:r w:rsidRPr="00EF4879">
              <w:t xml:space="preserve"> Absent</w:t>
            </w:r>
          </w:p>
          <w:p w14:paraId="4E7B8810" w14:textId="3D5FEE66" w:rsidR="006F2ADF" w:rsidRDefault="006F2ADF" w:rsidP="001977CF">
            <w:pPr>
              <w:pStyle w:val="ListParagraph"/>
              <w:numPr>
                <w:ilvl w:val="1"/>
                <w:numId w:val="3"/>
              </w:numPr>
              <w:spacing w:before="60"/>
              <w:ind w:left="288" w:hanging="288"/>
              <w:contextualSpacing w:val="0"/>
            </w:pPr>
            <w:r>
              <w:t>Mosley-Matchett, JD</w:t>
            </w:r>
            <w:r>
              <w:tab/>
            </w:r>
            <w:r>
              <w:tab/>
            </w:r>
            <w:r w:rsidR="00591BD0">
              <w:rPr>
                <w:rFonts w:cstheme="minorHAnsi"/>
              </w:rPr>
              <w:sym w:font="Wingdings" w:char="F078"/>
            </w:r>
            <w:r w:rsidRPr="00EF4879">
              <w:t>Present</w:t>
            </w:r>
            <w:r w:rsidRPr="00EF4879">
              <w:tab/>
            </w:r>
            <w:r w:rsidRPr="00EF4879">
              <w:sym w:font="Wingdings" w:char="F072"/>
            </w:r>
            <w:r w:rsidRPr="00EF4879">
              <w:t xml:space="preserve"> Absent</w:t>
            </w:r>
          </w:p>
          <w:p w14:paraId="3E260768" w14:textId="031502F4" w:rsidR="00CE6EA4" w:rsidRPr="00EF4879" w:rsidRDefault="00CE6EA4" w:rsidP="001977CF">
            <w:pPr>
              <w:pStyle w:val="ListParagraph"/>
              <w:numPr>
                <w:ilvl w:val="1"/>
                <w:numId w:val="3"/>
              </w:numPr>
              <w:spacing w:before="60"/>
              <w:ind w:left="288" w:hanging="288"/>
              <w:contextualSpacing w:val="0"/>
            </w:pPr>
            <w:r>
              <w:t>Reiss</w:t>
            </w:r>
            <w:r w:rsidRPr="00EF4879">
              <w:t xml:space="preserve">, </w:t>
            </w:r>
            <w:r>
              <w:t>Michelle</w:t>
            </w:r>
            <w:r>
              <w:tab/>
            </w:r>
            <w:r w:rsidRPr="00EF4879">
              <w:tab/>
            </w:r>
            <w:r w:rsidR="00591BD0">
              <w:rPr>
                <w:rFonts w:cstheme="minorHAnsi"/>
              </w:rPr>
              <w:sym w:font="Wingdings" w:char="F078"/>
            </w:r>
            <w:r w:rsidR="00365B11" w:rsidRPr="00EF4879">
              <w:t>Present</w:t>
            </w:r>
            <w:r w:rsidRPr="00EF4879">
              <w:tab/>
            </w:r>
            <w:r w:rsidRPr="00EF4879">
              <w:sym w:font="Wingdings" w:char="F072"/>
            </w:r>
            <w:r w:rsidRPr="00EF4879">
              <w:t xml:space="preserve"> Absent</w:t>
            </w:r>
          </w:p>
          <w:p w14:paraId="53F6FBD1" w14:textId="1BA30A44" w:rsidR="00CE6EA4" w:rsidRDefault="00CE6EA4" w:rsidP="001977CF">
            <w:pPr>
              <w:pStyle w:val="ListParagraph"/>
              <w:numPr>
                <w:ilvl w:val="1"/>
                <w:numId w:val="3"/>
              </w:numPr>
              <w:spacing w:before="60"/>
              <w:ind w:left="288" w:hanging="288"/>
              <w:contextualSpacing w:val="0"/>
            </w:pPr>
            <w:r>
              <w:t>Sautner, Rhoda</w:t>
            </w:r>
            <w:r>
              <w:tab/>
            </w:r>
            <w:r>
              <w:tab/>
            </w:r>
            <w:r w:rsidR="00591BD0">
              <w:rPr>
                <w:rFonts w:cstheme="minorHAnsi"/>
              </w:rPr>
              <w:sym w:font="Wingdings" w:char="F078"/>
            </w:r>
            <w:r w:rsidR="00365B11" w:rsidRPr="00EF4879">
              <w:t>Present</w:t>
            </w:r>
            <w:r w:rsidR="008C573C" w:rsidRPr="00EF4879">
              <w:tab/>
            </w:r>
            <w:r w:rsidR="008C573C" w:rsidRPr="00EF4879">
              <w:sym w:font="Wingdings" w:char="F072"/>
            </w:r>
            <w:r w:rsidR="008C573C" w:rsidRPr="00EF4879">
              <w:t xml:space="preserve"> Absent</w:t>
            </w:r>
          </w:p>
          <w:p w14:paraId="070F3BD2" w14:textId="5FA27A4B" w:rsidR="006F2ADF" w:rsidRDefault="006F2ADF" w:rsidP="001977CF">
            <w:pPr>
              <w:pStyle w:val="ListParagraph"/>
              <w:numPr>
                <w:ilvl w:val="1"/>
                <w:numId w:val="3"/>
              </w:numPr>
              <w:spacing w:before="60"/>
              <w:ind w:left="288" w:hanging="288"/>
              <w:contextualSpacing w:val="0"/>
            </w:pPr>
            <w:r>
              <w:t>Schroeder, Scott</w:t>
            </w:r>
            <w:r>
              <w:tab/>
            </w:r>
            <w:r>
              <w:tab/>
            </w:r>
            <w:r w:rsidR="00591BD0">
              <w:rPr>
                <w:rFonts w:cstheme="minorHAnsi"/>
              </w:rPr>
              <w:sym w:font="Wingdings" w:char="F078"/>
            </w:r>
            <w:r w:rsidRPr="00EF4879">
              <w:t>Present</w:t>
            </w:r>
            <w:r w:rsidRPr="00EF4879">
              <w:tab/>
            </w:r>
            <w:r w:rsidRPr="00EF4879">
              <w:sym w:font="Wingdings" w:char="F072"/>
            </w:r>
            <w:r w:rsidRPr="00EF4879">
              <w:t xml:space="preserve"> Absent</w:t>
            </w:r>
          </w:p>
          <w:p w14:paraId="4527755D" w14:textId="39279421" w:rsidR="00CE6EA4" w:rsidRPr="00EF4879" w:rsidRDefault="00CE6EA4" w:rsidP="001977CF">
            <w:pPr>
              <w:pStyle w:val="ListParagraph"/>
              <w:numPr>
                <w:ilvl w:val="1"/>
                <w:numId w:val="3"/>
              </w:numPr>
              <w:spacing w:before="60"/>
              <w:ind w:left="288" w:hanging="288"/>
              <w:contextualSpacing w:val="0"/>
            </w:pPr>
            <w:r>
              <w:t>Yates, Laurie</w:t>
            </w:r>
            <w:r>
              <w:tab/>
            </w:r>
            <w:r>
              <w:tab/>
            </w:r>
            <w:r>
              <w:tab/>
            </w:r>
            <w:r w:rsidR="00591BD0">
              <w:rPr>
                <w:rFonts w:cstheme="minorHAnsi"/>
              </w:rPr>
              <w:sym w:font="Wingdings" w:char="F078"/>
            </w:r>
            <w:r w:rsidR="006F2ADF" w:rsidRPr="00EF4879">
              <w:t>Present</w:t>
            </w:r>
            <w:r w:rsidRPr="00EF4879">
              <w:tab/>
            </w:r>
            <w:r w:rsidRPr="00EF4879">
              <w:sym w:font="Wingdings" w:char="F072"/>
            </w:r>
            <w:r w:rsidRPr="00EF4879">
              <w:t xml:space="preserve"> Absent</w:t>
            </w:r>
          </w:p>
          <w:p w14:paraId="545AEA49" w14:textId="49467397" w:rsidR="009E6462" w:rsidRPr="00EF4879" w:rsidRDefault="604C6CA9" w:rsidP="009E6462">
            <w:pPr>
              <w:pStyle w:val="ListParagraph"/>
              <w:numPr>
                <w:ilvl w:val="1"/>
                <w:numId w:val="3"/>
              </w:numPr>
              <w:spacing w:before="60"/>
              <w:ind w:left="288" w:hanging="288"/>
              <w:contextualSpacing w:val="0"/>
            </w:pPr>
            <w:r>
              <w:t>Barr, Laurie</w:t>
            </w:r>
            <w:r w:rsidR="009E6462">
              <w:tab/>
            </w:r>
            <w:r w:rsidR="009E6462">
              <w:tab/>
              <w:t xml:space="preserve">               </w:t>
            </w:r>
            <w:r w:rsidR="00591BD0">
              <w:rPr>
                <w:rFonts w:cstheme="minorHAnsi"/>
              </w:rPr>
              <w:sym w:font="Wingdings" w:char="F078"/>
            </w:r>
            <w:r w:rsidR="009E6462" w:rsidRPr="00EF4879">
              <w:t>Present</w:t>
            </w:r>
            <w:r w:rsidR="009E6462" w:rsidRPr="00EF4879">
              <w:tab/>
            </w:r>
            <w:r w:rsidR="009E6462" w:rsidRPr="00EF4879">
              <w:sym w:font="Wingdings" w:char="F072"/>
            </w:r>
            <w:r w:rsidR="009E6462" w:rsidRPr="00EF4879">
              <w:t xml:space="preserve"> Absent</w:t>
            </w:r>
          </w:p>
          <w:p w14:paraId="3168502C" w14:textId="77777777" w:rsidR="00713D89" w:rsidRDefault="00713D89" w:rsidP="009E6462">
            <w:pPr>
              <w:pStyle w:val="ListParagraph"/>
              <w:spacing w:before="60"/>
              <w:ind w:left="288"/>
            </w:pPr>
          </w:p>
          <w:p w14:paraId="12DC98E5" w14:textId="6BCD0C7C" w:rsidR="009E6462" w:rsidRDefault="009E6462" w:rsidP="68BD5794">
            <w:pPr>
              <w:ind w:left="0"/>
            </w:pPr>
            <w:r>
              <w:t>G</w:t>
            </w:r>
            <w:r w:rsidRPr="009E6462">
              <w:rPr>
                <w:i/>
                <w:iCs/>
              </w:rPr>
              <w:t>uests</w:t>
            </w:r>
          </w:p>
          <w:p w14:paraId="1BDC0037" w14:textId="7868AAB6" w:rsidR="009E6462" w:rsidRDefault="009E6462" w:rsidP="009E6462">
            <w:pPr>
              <w:pStyle w:val="ListParagraph"/>
              <w:numPr>
                <w:ilvl w:val="1"/>
                <w:numId w:val="3"/>
              </w:numPr>
              <w:spacing w:before="60"/>
              <w:ind w:left="288" w:hanging="288"/>
              <w:contextualSpacing w:val="0"/>
            </w:pPr>
            <w:r>
              <w:t xml:space="preserve">Beaudry, Sharon               </w:t>
            </w:r>
            <w:r>
              <w:tab/>
            </w:r>
            <w:r w:rsidR="00591BD0">
              <w:rPr>
                <w:rFonts w:cstheme="minorHAnsi"/>
              </w:rPr>
              <w:sym w:font="Wingdings" w:char="F078"/>
            </w:r>
            <w:r w:rsidRPr="00EF4879">
              <w:t>Present</w:t>
            </w:r>
            <w:r w:rsidRPr="00EF4879">
              <w:tab/>
            </w:r>
            <w:r w:rsidRPr="00EF4879">
              <w:sym w:font="Wingdings" w:char="F072"/>
            </w:r>
            <w:r w:rsidRPr="00EF4879">
              <w:t xml:space="preserve"> Absent</w:t>
            </w:r>
          </w:p>
          <w:p w14:paraId="6200F5E0" w14:textId="00D51C97" w:rsidR="009E6462" w:rsidRDefault="009E6462" w:rsidP="009E6462">
            <w:pPr>
              <w:pStyle w:val="ListParagraph"/>
              <w:numPr>
                <w:ilvl w:val="1"/>
                <w:numId w:val="3"/>
              </w:numPr>
              <w:spacing w:before="60"/>
              <w:ind w:left="288" w:hanging="288"/>
              <w:contextualSpacing w:val="0"/>
            </w:pPr>
            <w:r>
              <w:t>Crow, Craig</w:t>
            </w:r>
            <w:r>
              <w:tab/>
              <w:t xml:space="preserve">        </w:t>
            </w:r>
            <w:r>
              <w:tab/>
              <w:t xml:space="preserve">    </w:t>
            </w:r>
            <w:r>
              <w:tab/>
            </w:r>
            <w:r w:rsidR="00591BD0">
              <w:rPr>
                <w:rFonts w:cstheme="minorHAnsi"/>
              </w:rPr>
              <w:sym w:font="Wingdings" w:char="F078"/>
            </w:r>
            <w:r w:rsidRPr="00EF4879">
              <w:t>Present</w:t>
            </w:r>
            <w:r w:rsidRPr="00EF4879">
              <w:tab/>
            </w:r>
            <w:r w:rsidRPr="00EF4879">
              <w:sym w:font="Wingdings" w:char="F072"/>
            </w:r>
            <w:r w:rsidRPr="00EF4879">
              <w:t xml:space="preserve"> Absent</w:t>
            </w:r>
          </w:p>
          <w:p w14:paraId="0A053D00" w14:textId="40EC97A8" w:rsidR="009E6462" w:rsidRDefault="009E6462" w:rsidP="009E6462">
            <w:pPr>
              <w:pStyle w:val="ListParagraph"/>
              <w:numPr>
                <w:ilvl w:val="1"/>
                <w:numId w:val="3"/>
              </w:numPr>
              <w:spacing w:before="60"/>
              <w:ind w:left="288" w:hanging="288"/>
              <w:contextualSpacing w:val="0"/>
            </w:pPr>
            <w:r>
              <w:t xml:space="preserve">Reddy, Byra   </w:t>
            </w:r>
            <w:r>
              <w:tab/>
              <w:t xml:space="preserve">               </w:t>
            </w:r>
            <w:r w:rsidR="00591BD0">
              <w:rPr>
                <w:rFonts w:cstheme="minorHAnsi"/>
              </w:rPr>
              <w:sym w:font="Wingdings" w:char="F078"/>
            </w:r>
            <w:r w:rsidRPr="00EF4879">
              <w:t>Present</w:t>
            </w:r>
            <w:r w:rsidRPr="00EF4879">
              <w:tab/>
            </w:r>
            <w:r w:rsidRPr="00EF4879">
              <w:sym w:font="Wingdings" w:char="F072"/>
            </w:r>
            <w:r w:rsidRPr="00EF4879">
              <w:t xml:space="preserve"> Absent</w:t>
            </w:r>
          </w:p>
          <w:p w14:paraId="496A0F6A" w14:textId="77777777" w:rsidR="00591BD0" w:rsidRDefault="00591BD0" w:rsidP="3F2FABD2">
            <w:pPr>
              <w:ind w:left="0"/>
              <w:rPr>
                <w:i/>
                <w:iCs/>
              </w:rPr>
            </w:pPr>
          </w:p>
          <w:p w14:paraId="279E5BF4" w14:textId="52380023" w:rsidR="00CE6EA4" w:rsidRPr="00F81927" w:rsidRDefault="3F2FABD2" w:rsidP="3F2FABD2">
            <w:pPr>
              <w:ind w:left="0"/>
              <w:rPr>
                <w:i/>
                <w:iCs/>
              </w:rPr>
            </w:pPr>
            <w:r w:rsidRPr="3F2FABD2">
              <w:rPr>
                <w:i/>
                <w:iCs/>
              </w:rPr>
              <w:t>Staff:</w:t>
            </w:r>
          </w:p>
          <w:p w14:paraId="600CAF43" w14:textId="4D081B24" w:rsidR="00CE64CD" w:rsidRDefault="00CE64CD" w:rsidP="001977CF">
            <w:pPr>
              <w:pStyle w:val="ListParagraph"/>
              <w:numPr>
                <w:ilvl w:val="0"/>
                <w:numId w:val="4"/>
              </w:numPr>
              <w:spacing w:before="60"/>
              <w:ind w:left="288" w:hanging="288"/>
              <w:contextualSpacing w:val="0"/>
            </w:pPr>
            <w:r>
              <w:t>Collins, Ted</w:t>
            </w:r>
            <w:r w:rsidRPr="00EF4879">
              <w:tab/>
            </w:r>
            <w:r>
              <w:t xml:space="preserve">                             </w:t>
            </w:r>
            <w:r w:rsidR="003C13D0" w:rsidRPr="00EF4879">
              <w:sym w:font="Wingdings" w:char="F072"/>
            </w:r>
            <w:r w:rsidR="006F2ADF" w:rsidRPr="00EF4879">
              <w:t>Present</w:t>
            </w:r>
            <w:r w:rsidRPr="00EF4879">
              <w:tab/>
            </w:r>
            <w:r w:rsidR="00591BD0">
              <w:rPr>
                <w:rFonts w:cstheme="minorHAnsi"/>
              </w:rPr>
              <w:sym w:font="Wingdings" w:char="F078"/>
            </w:r>
            <w:r w:rsidRPr="00EF4879">
              <w:t>Absent</w:t>
            </w:r>
          </w:p>
          <w:p w14:paraId="17108EC9" w14:textId="5EB3FF3C" w:rsidR="002E02A7" w:rsidRDefault="002E02A7" w:rsidP="001977CF">
            <w:pPr>
              <w:pStyle w:val="ListParagraph"/>
              <w:numPr>
                <w:ilvl w:val="0"/>
                <w:numId w:val="4"/>
              </w:numPr>
              <w:spacing w:before="60"/>
              <w:ind w:left="288" w:hanging="288"/>
              <w:contextualSpacing w:val="0"/>
            </w:pPr>
            <w:r>
              <w:t>Livengood</w:t>
            </w:r>
            <w:r w:rsidR="009E6462">
              <w:t>, Cecilia</w:t>
            </w:r>
            <w:r>
              <w:t xml:space="preserve">                    </w:t>
            </w:r>
            <w:r w:rsidRPr="00EF4879">
              <w:sym w:font="Wingdings" w:char="F072"/>
            </w:r>
            <w:r w:rsidRPr="00EF4879">
              <w:t>Present</w:t>
            </w:r>
            <w:r w:rsidRPr="00EF4879">
              <w:tab/>
            </w:r>
            <w:r w:rsidR="00591BD0">
              <w:rPr>
                <w:rFonts w:cstheme="minorHAnsi"/>
              </w:rPr>
              <w:sym w:font="Wingdings" w:char="F078"/>
            </w:r>
            <w:r w:rsidR="604C6CA9">
              <w:t xml:space="preserve">  Absent</w:t>
            </w:r>
          </w:p>
          <w:p w14:paraId="656CFCCE" w14:textId="58A633B4" w:rsidR="009E6462" w:rsidRDefault="009E6462" w:rsidP="009E6462">
            <w:pPr>
              <w:pStyle w:val="ListParagraph"/>
              <w:numPr>
                <w:ilvl w:val="0"/>
                <w:numId w:val="4"/>
              </w:numPr>
              <w:spacing w:before="60"/>
              <w:ind w:left="288" w:hanging="288"/>
              <w:contextualSpacing w:val="0"/>
            </w:pPr>
            <w:r>
              <w:t xml:space="preserve">Okrepkie, </w:t>
            </w:r>
            <w:r w:rsidR="002E02A7" w:rsidRPr="00EF4879">
              <w:t>Phyllis</w:t>
            </w:r>
            <w:r>
              <w:t xml:space="preserve">                       </w:t>
            </w:r>
            <w:r w:rsidR="00591BD0">
              <w:rPr>
                <w:rFonts w:cstheme="minorHAnsi"/>
              </w:rPr>
              <w:sym w:font="Wingdings" w:char="F078"/>
            </w:r>
            <w:r w:rsidRPr="00EF4879">
              <w:t>Present</w:t>
            </w:r>
            <w:r w:rsidRPr="00EF4879">
              <w:tab/>
            </w:r>
            <w:r w:rsidRPr="00EF4879">
              <w:sym w:font="Wingdings" w:char="F072"/>
            </w:r>
            <w:r>
              <w:t xml:space="preserve">  Absent</w:t>
            </w:r>
          </w:p>
          <w:p w14:paraId="1B6C2D31" w14:textId="2EA52F49" w:rsidR="00B05C5E" w:rsidRPr="00EF4879" w:rsidRDefault="00B05C5E" w:rsidP="006F2ADF">
            <w:pPr>
              <w:spacing w:before="60"/>
              <w:ind w:left="0"/>
            </w:pPr>
          </w:p>
        </w:tc>
        <w:tc>
          <w:tcPr>
            <w:tcW w:w="2533" w:type="dxa"/>
            <w:tcMar>
              <w:top w:w="43" w:type="dxa"/>
              <w:left w:w="115" w:type="dxa"/>
              <w:bottom w:w="43" w:type="dxa"/>
              <w:right w:w="115" w:type="dxa"/>
            </w:tcMar>
          </w:tcPr>
          <w:p w14:paraId="200E822D" w14:textId="79B1E333" w:rsidR="00CE6EA4" w:rsidRPr="00EF4879" w:rsidRDefault="00CE6EA4" w:rsidP="00CE6EA4">
            <w:pPr>
              <w:ind w:left="0"/>
            </w:pPr>
          </w:p>
        </w:tc>
      </w:tr>
      <w:tr w:rsidR="00CE6EA4" w:rsidRPr="00EF4879" w14:paraId="17903093" w14:textId="77777777" w:rsidTr="604C6CA9">
        <w:trPr>
          <w:cantSplit/>
          <w:trHeight w:val="288"/>
          <w:jc w:val="center"/>
        </w:trPr>
        <w:tc>
          <w:tcPr>
            <w:tcW w:w="447" w:type="dxa"/>
            <w:vAlign w:val="center"/>
          </w:tcPr>
          <w:p w14:paraId="00EF00D0" w14:textId="44B1AF33" w:rsidR="00CE6EA4" w:rsidRPr="003D1C2D" w:rsidRDefault="604C6CA9" w:rsidP="604C6CA9">
            <w:pPr>
              <w:ind w:left="0"/>
              <w:jc w:val="center"/>
            </w:pPr>
            <w:r w:rsidRPr="003D1C2D">
              <w:lastRenderedPageBreak/>
              <w:t>3</w:t>
            </w:r>
          </w:p>
        </w:tc>
        <w:tc>
          <w:tcPr>
            <w:tcW w:w="6390" w:type="dxa"/>
            <w:vAlign w:val="center"/>
          </w:tcPr>
          <w:p w14:paraId="70646086" w14:textId="77777777" w:rsidR="00CE6EA4" w:rsidRDefault="604C6CA9" w:rsidP="604C6CA9">
            <w:pPr>
              <w:ind w:left="0"/>
            </w:pPr>
            <w:r w:rsidRPr="003D1C2D">
              <w:t>Review and Revisions of Agenda</w:t>
            </w:r>
          </w:p>
          <w:p w14:paraId="6BFED48C" w14:textId="38685899" w:rsidR="00591BD0" w:rsidRPr="003D1C2D" w:rsidRDefault="00591BD0" w:rsidP="604C6CA9">
            <w:pPr>
              <w:ind w:left="0"/>
            </w:pPr>
            <w:r>
              <w:t>None</w:t>
            </w:r>
          </w:p>
        </w:tc>
        <w:tc>
          <w:tcPr>
            <w:tcW w:w="2533" w:type="dxa"/>
          </w:tcPr>
          <w:p w14:paraId="2A2CE66A" w14:textId="5E96540D" w:rsidR="00CE6EA4" w:rsidRPr="003D1C2D" w:rsidRDefault="604C6CA9" w:rsidP="604C6CA9">
            <w:pPr>
              <w:ind w:left="0"/>
            </w:pPr>
            <w:r w:rsidRPr="003D1C2D">
              <w:t>Hafford</w:t>
            </w:r>
          </w:p>
        </w:tc>
      </w:tr>
      <w:tr w:rsidR="00CE6EA4" w:rsidRPr="00EF4879" w14:paraId="6027603B" w14:textId="77777777" w:rsidTr="604C6CA9">
        <w:trPr>
          <w:cantSplit/>
          <w:trHeight w:val="432"/>
          <w:jc w:val="center"/>
        </w:trPr>
        <w:tc>
          <w:tcPr>
            <w:tcW w:w="447" w:type="dxa"/>
          </w:tcPr>
          <w:p w14:paraId="11A4367F" w14:textId="19065947" w:rsidR="00CE6EA4" w:rsidRPr="003D1C2D" w:rsidRDefault="604C6CA9" w:rsidP="604C6CA9">
            <w:pPr>
              <w:ind w:left="0"/>
              <w:jc w:val="center"/>
            </w:pPr>
            <w:r w:rsidRPr="003D1C2D">
              <w:t>4</w:t>
            </w:r>
          </w:p>
        </w:tc>
        <w:tc>
          <w:tcPr>
            <w:tcW w:w="6390" w:type="dxa"/>
          </w:tcPr>
          <w:p w14:paraId="63CB575D" w14:textId="77777777" w:rsidR="00CE6EA4" w:rsidRPr="003D1C2D" w:rsidRDefault="604C6CA9" w:rsidP="604C6CA9">
            <w:pPr>
              <w:ind w:left="0"/>
            </w:pPr>
            <w:r w:rsidRPr="003D1C2D">
              <w:t>Review and Approval of Minutes of Previous Board Meetings:</w:t>
            </w:r>
          </w:p>
          <w:p w14:paraId="7C9E3D95" w14:textId="2CDAFCD8" w:rsidR="00F51353" w:rsidRPr="003D1C2D" w:rsidRDefault="009E6462" w:rsidP="00CE6EA4">
            <w:pPr>
              <w:pStyle w:val="ListParagraph"/>
              <w:numPr>
                <w:ilvl w:val="0"/>
                <w:numId w:val="2"/>
              </w:numPr>
              <w:spacing w:before="60"/>
              <w:ind w:left="288" w:hanging="288"/>
              <w:contextualSpacing w:val="0"/>
            </w:pPr>
            <w:r w:rsidRPr="003D1C2D">
              <w:t>December</w:t>
            </w:r>
            <w:r w:rsidR="604C6CA9" w:rsidRPr="003D1C2D">
              <w:t xml:space="preserve"> 2019</w:t>
            </w:r>
            <w:r w:rsidR="00A35059">
              <w:t xml:space="preserve"> – send out for email vote </w:t>
            </w:r>
            <w:r w:rsidR="00591BD0">
              <w:t>along with March 30-31, 2020 minutes</w:t>
            </w:r>
          </w:p>
        </w:tc>
        <w:tc>
          <w:tcPr>
            <w:tcW w:w="2533" w:type="dxa"/>
          </w:tcPr>
          <w:p w14:paraId="5DAD65CD" w14:textId="618048F2" w:rsidR="00CE6EA4" w:rsidRPr="003D1C2D" w:rsidRDefault="003D1C2D" w:rsidP="604C6CA9">
            <w:pPr>
              <w:ind w:left="0"/>
            </w:pPr>
            <w:r>
              <w:t>Hafford</w:t>
            </w:r>
          </w:p>
        </w:tc>
      </w:tr>
      <w:tr w:rsidR="009B638D" w:rsidRPr="00EF4879" w14:paraId="1788FA6F" w14:textId="77777777" w:rsidTr="604C6CA9">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61A3B3D0" w14:textId="77777777" w:rsidR="009B638D" w:rsidRPr="00EF4879" w:rsidRDefault="3F2FABD2" w:rsidP="3F2FABD2">
            <w:pPr>
              <w:ind w:left="0"/>
              <w:jc w:val="center"/>
              <w:rPr>
                <w:b/>
                <w:bCs/>
              </w:rPr>
            </w:pPr>
            <w:r w:rsidRPr="3F2FABD2">
              <w:rPr>
                <w:b/>
                <w:bCs/>
              </w:rPr>
              <w:t>B</w:t>
            </w:r>
          </w:p>
        </w:tc>
        <w:tc>
          <w:tcPr>
            <w:tcW w:w="8923" w:type="dxa"/>
            <w:gridSpan w:val="2"/>
            <w:shd w:val="clear" w:color="auto" w:fill="DBE5F1" w:themeFill="accent1" w:themeFillTint="33"/>
            <w:tcMar>
              <w:top w:w="0" w:type="dxa"/>
              <w:bottom w:w="0" w:type="dxa"/>
            </w:tcMar>
            <w:vAlign w:val="center"/>
          </w:tcPr>
          <w:p w14:paraId="6036207B" w14:textId="2508A87D" w:rsidR="009B638D" w:rsidRPr="00EF4879" w:rsidRDefault="604C6CA9" w:rsidP="604C6CA9">
            <w:pPr>
              <w:ind w:left="0"/>
              <w:jc w:val="center"/>
              <w:rPr>
                <w:b/>
                <w:bCs/>
              </w:rPr>
            </w:pPr>
            <w:r w:rsidRPr="604C6CA9">
              <w:rPr>
                <w:b/>
                <w:bCs/>
              </w:rPr>
              <w:t xml:space="preserve">FIRST-TIME ACCREDITATION REVIEWS </w:t>
            </w:r>
          </w:p>
        </w:tc>
      </w:tr>
      <w:tr w:rsidR="00475C92" w:rsidRPr="00EF4879" w14:paraId="28CC316B" w14:textId="77777777" w:rsidTr="00BD2835">
        <w:trPr>
          <w:cantSplit/>
          <w:trHeight w:val="288"/>
          <w:jc w:val="center"/>
        </w:trPr>
        <w:tc>
          <w:tcPr>
            <w:tcW w:w="447" w:type="dxa"/>
            <w:tcMar>
              <w:left w:w="0" w:type="dxa"/>
              <w:right w:w="0" w:type="dxa"/>
            </w:tcMar>
          </w:tcPr>
          <w:p w14:paraId="5065D0BE" w14:textId="77777777" w:rsidR="00475C92" w:rsidRDefault="00475C92" w:rsidP="0095420F">
            <w:pPr>
              <w:ind w:left="0"/>
              <w:jc w:val="center"/>
            </w:pPr>
          </w:p>
        </w:tc>
        <w:tc>
          <w:tcPr>
            <w:tcW w:w="8923" w:type="dxa"/>
            <w:gridSpan w:val="2"/>
            <w:vAlign w:val="center"/>
          </w:tcPr>
          <w:p w14:paraId="14D775BB" w14:textId="5CCFB32A" w:rsidR="00475C92" w:rsidRDefault="00475C92" w:rsidP="00B37711">
            <w:pPr>
              <w:ind w:left="0"/>
            </w:pPr>
            <w:r w:rsidRPr="00033EB6">
              <w:rPr>
                <w:rFonts w:cs="Calibri"/>
              </w:rPr>
              <w:t xml:space="preserve">The relevant accreditation principles were read prior to discussion </w:t>
            </w:r>
            <w:r>
              <w:rPr>
                <w:rFonts w:cs="Calibri"/>
              </w:rPr>
              <w:t xml:space="preserve">of the compliance with the principles </w:t>
            </w:r>
            <w:r w:rsidRPr="00772D87">
              <w:rPr>
                <w:rFonts w:cs="Times New Roman"/>
              </w:rPr>
              <w:t>to ensure that the review related appropriately to compliance with the principles</w:t>
            </w:r>
            <w:r>
              <w:rPr>
                <w:rFonts w:cs="Calibri"/>
              </w:rPr>
              <w:t>.</w:t>
            </w:r>
          </w:p>
        </w:tc>
      </w:tr>
      <w:tr w:rsidR="00475C92" w:rsidRPr="00EF4879" w14:paraId="177611AB" w14:textId="77777777" w:rsidTr="00BD2835">
        <w:trPr>
          <w:cantSplit/>
          <w:trHeight w:val="288"/>
          <w:jc w:val="center"/>
        </w:trPr>
        <w:tc>
          <w:tcPr>
            <w:tcW w:w="447" w:type="dxa"/>
            <w:tcMar>
              <w:left w:w="0" w:type="dxa"/>
              <w:right w:w="0" w:type="dxa"/>
            </w:tcMar>
          </w:tcPr>
          <w:p w14:paraId="16C48319" w14:textId="77777777" w:rsidR="00475C92" w:rsidRDefault="00475C92" w:rsidP="0095420F">
            <w:pPr>
              <w:ind w:left="0"/>
              <w:jc w:val="center"/>
            </w:pPr>
          </w:p>
        </w:tc>
        <w:tc>
          <w:tcPr>
            <w:tcW w:w="8923" w:type="dxa"/>
            <w:gridSpan w:val="2"/>
            <w:vAlign w:val="center"/>
          </w:tcPr>
          <w:p w14:paraId="0BE62715" w14:textId="0ED96DB3" w:rsidR="00475C92" w:rsidRPr="00033EB6" w:rsidRDefault="00475C92" w:rsidP="00B37711">
            <w:pPr>
              <w:ind w:left="0"/>
              <w:rPr>
                <w:rFonts w:cs="Calibri"/>
              </w:rPr>
            </w:pPr>
            <w:r>
              <w:rPr>
                <w:rFonts w:cs="Calibri"/>
              </w:rPr>
              <w:t xml:space="preserve">Unless otherwise specified, </w:t>
            </w:r>
            <w:r w:rsidR="00F8525F">
              <w:rPr>
                <w:rFonts w:cs="Calibri"/>
              </w:rPr>
              <w:t>responses to notes are due by June 1, 2020.</w:t>
            </w:r>
          </w:p>
        </w:tc>
      </w:tr>
      <w:tr w:rsidR="005D7F69" w:rsidRPr="00EF4879" w14:paraId="5A6CF791" w14:textId="77777777" w:rsidTr="604C6CA9">
        <w:trPr>
          <w:cantSplit/>
          <w:trHeight w:val="288"/>
          <w:jc w:val="center"/>
        </w:trPr>
        <w:tc>
          <w:tcPr>
            <w:tcW w:w="447" w:type="dxa"/>
            <w:tcMar>
              <w:left w:w="0" w:type="dxa"/>
              <w:right w:w="0" w:type="dxa"/>
            </w:tcMar>
          </w:tcPr>
          <w:p w14:paraId="7CFC2F70" w14:textId="73E0147A" w:rsidR="005D7F69" w:rsidRPr="008B07D3" w:rsidRDefault="00B038AC" w:rsidP="0095420F">
            <w:pPr>
              <w:ind w:left="0"/>
              <w:jc w:val="center"/>
            </w:pPr>
            <w:r>
              <w:t>5</w:t>
            </w:r>
          </w:p>
        </w:tc>
        <w:tc>
          <w:tcPr>
            <w:tcW w:w="6390" w:type="dxa"/>
            <w:vAlign w:val="center"/>
          </w:tcPr>
          <w:p w14:paraId="253076EC" w14:textId="77777777" w:rsidR="005D7F69" w:rsidRPr="00315CE0" w:rsidRDefault="004E2D2E" w:rsidP="00CE64CD">
            <w:pPr>
              <w:ind w:left="0"/>
              <w:rPr>
                <w:b/>
              </w:rPr>
            </w:pPr>
            <w:r w:rsidRPr="00315CE0">
              <w:rPr>
                <w:b/>
              </w:rPr>
              <w:t>GLA University</w:t>
            </w:r>
          </w:p>
          <w:p w14:paraId="0D799AC2" w14:textId="57C17E9D" w:rsidR="00591BD0" w:rsidRDefault="00C95242" w:rsidP="00CE64CD">
            <w:pPr>
              <w:ind w:left="0"/>
            </w:pPr>
            <w:r>
              <w:rPr>
                <w:bCs/>
              </w:rPr>
              <w:t xml:space="preserve">Moved and seconded to </w:t>
            </w:r>
            <w:r>
              <w:t>a</w:t>
            </w:r>
            <w:r w:rsidR="00591BD0">
              <w:t>ccredit with one note on Prin 3.1, no observations</w:t>
            </w:r>
            <w:r>
              <w:t>.</w:t>
            </w:r>
          </w:p>
          <w:p w14:paraId="71B4E7F3" w14:textId="0D32B495" w:rsidR="00C95242" w:rsidRDefault="00C95242" w:rsidP="00CE64CD">
            <w:pPr>
              <w:ind w:left="0"/>
              <w:rPr>
                <w:bCs/>
              </w:rPr>
            </w:pPr>
            <w:r>
              <w:rPr>
                <w:bCs/>
              </w:rPr>
              <w:t>Motion passed.</w:t>
            </w:r>
          </w:p>
        </w:tc>
        <w:tc>
          <w:tcPr>
            <w:tcW w:w="2533" w:type="dxa"/>
            <w:vAlign w:val="center"/>
          </w:tcPr>
          <w:p w14:paraId="12D60F97" w14:textId="3E5D3E1C" w:rsidR="00FA2070" w:rsidRDefault="00475C92" w:rsidP="00B37711">
            <w:pPr>
              <w:ind w:left="0"/>
            </w:pPr>
            <w:r>
              <w:t>Accr. expires 4-30-27</w:t>
            </w:r>
          </w:p>
          <w:p w14:paraId="00911F5E" w14:textId="0600986F" w:rsidR="00475C92" w:rsidRDefault="00475C92" w:rsidP="00B37711">
            <w:pPr>
              <w:ind w:left="0"/>
            </w:pPr>
            <w:r>
              <w:t>IQAR due 11-1-24</w:t>
            </w:r>
          </w:p>
        </w:tc>
      </w:tr>
      <w:tr w:rsidR="003C13D0" w:rsidRPr="00EF4879" w14:paraId="5CDF3D44" w14:textId="77777777" w:rsidTr="604C6CA9">
        <w:trPr>
          <w:cantSplit/>
          <w:trHeight w:val="288"/>
          <w:jc w:val="center"/>
        </w:trPr>
        <w:tc>
          <w:tcPr>
            <w:tcW w:w="447" w:type="dxa"/>
            <w:tcMar>
              <w:left w:w="0" w:type="dxa"/>
              <w:right w:w="0" w:type="dxa"/>
            </w:tcMar>
          </w:tcPr>
          <w:p w14:paraId="42438849" w14:textId="6F7D26E0" w:rsidR="003C13D0" w:rsidRPr="008B07D3" w:rsidRDefault="00B038AC" w:rsidP="0095420F">
            <w:pPr>
              <w:ind w:left="0"/>
              <w:jc w:val="center"/>
            </w:pPr>
            <w:r>
              <w:t>6</w:t>
            </w:r>
          </w:p>
        </w:tc>
        <w:tc>
          <w:tcPr>
            <w:tcW w:w="6390" w:type="dxa"/>
            <w:vAlign w:val="center"/>
          </w:tcPr>
          <w:p w14:paraId="092F2747" w14:textId="77777777" w:rsidR="003C13D0" w:rsidRPr="00315CE0" w:rsidRDefault="004E2D2E" w:rsidP="00CE64CD">
            <w:pPr>
              <w:ind w:left="0"/>
              <w:rPr>
                <w:b/>
              </w:rPr>
            </w:pPr>
            <w:r w:rsidRPr="00315CE0">
              <w:rPr>
                <w:b/>
              </w:rPr>
              <w:t>Rhode Island College</w:t>
            </w:r>
          </w:p>
          <w:p w14:paraId="1645AF1C" w14:textId="20C52EFB" w:rsidR="00591BD0" w:rsidRDefault="00C95242" w:rsidP="00CE64CD">
            <w:pPr>
              <w:ind w:left="0"/>
            </w:pPr>
            <w:r>
              <w:rPr>
                <w:bCs/>
              </w:rPr>
              <w:t xml:space="preserve">Moved and seconded to </w:t>
            </w:r>
            <w:r>
              <w:t>a</w:t>
            </w:r>
            <w:r w:rsidR="00591BD0">
              <w:t>ccredit with one note on Prin 2.1, no observations</w:t>
            </w:r>
            <w:r>
              <w:t>.</w:t>
            </w:r>
          </w:p>
          <w:p w14:paraId="33D0391A" w14:textId="0A5B7834" w:rsidR="00C95242" w:rsidRDefault="00C95242" w:rsidP="00CE64CD">
            <w:pPr>
              <w:ind w:left="0"/>
              <w:rPr>
                <w:bCs/>
              </w:rPr>
            </w:pPr>
            <w:r>
              <w:rPr>
                <w:bCs/>
              </w:rPr>
              <w:t>Motion passed.</w:t>
            </w:r>
          </w:p>
        </w:tc>
        <w:tc>
          <w:tcPr>
            <w:tcW w:w="2533" w:type="dxa"/>
            <w:vAlign w:val="center"/>
          </w:tcPr>
          <w:p w14:paraId="59354B35" w14:textId="77777777" w:rsidR="00475C92" w:rsidRDefault="00475C92" w:rsidP="00475C92">
            <w:pPr>
              <w:ind w:left="0"/>
            </w:pPr>
            <w:r>
              <w:t>Accr. expires 4-30-27</w:t>
            </w:r>
          </w:p>
          <w:p w14:paraId="562B7974" w14:textId="6C931554" w:rsidR="003C13D0" w:rsidRDefault="00475C92" w:rsidP="00475C92">
            <w:pPr>
              <w:ind w:left="0"/>
            </w:pPr>
            <w:r>
              <w:t>IQAR due 11-1-24</w:t>
            </w:r>
          </w:p>
        </w:tc>
      </w:tr>
      <w:tr w:rsidR="00A52991" w:rsidRPr="00EF4879" w14:paraId="44B087F6" w14:textId="77777777" w:rsidTr="604C6CA9">
        <w:trPr>
          <w:cantSplit/>
          <w:trHeight w:val="288"/>
          <w:jc w:val="center"/>
        </w:trPr>
        <w:tc>
          <w:tcPr>
            <w:tcW w:w="447" w:type="dxa"/>
            <w:tcMar>
              <w:left w:w="0" w:type="dxa"/>
              <w:right w:w="0" w:type="dxa"/>
            </w:tcMar>
          </w:tcPr>
          <w:p w14:paraId="7E222F78" w14:textId="77777777" w:rsidR="00A52991" w:rsidRDefault="00A52991" w:rsidP="0095420F">
            <w:pPr>
              <w:ind w:left="0"/>
              <w:jc w:val="center"/>
            </w:pPr>
          </w:p>
        </w:tc>
        <w:tc>
          <w:tcPr>
            <w:tcW w:w="6390" w:type="dxa"/>
            <w:vAlign w:val="center"/>
          </w:tcPr>
          <w:p w14:paraId="00840CA1" w14:textId="5F2C57EF" w:rsidR="00A52991" w:rsidRPr="00A52991" w:rsidRDefault="00A52991" w:rsidP="00CE64CD">
            <w:pPr>
              <w:ind w:left="0"/>
              <w:rPr>
                <w:bCs/>
              </w:rPr>
            </w:pPr>
            <w:r w:rsidRPr="00A52991">
              <w:rPr>
                <w:bCs/>
              </w:rPr>
              <w:t>Gavel was passed to Vice-Chair, Scott Schroeder, as the Chair Pat Hafford, was the primary reader.</w:t>
            </w:r>
          </w:p>
        </w:tc>
        <w:tc>
          <w:tcPr>
            <w:tcW w:w="2533" w:type="dxa"/>
            <w:vAlign w:val="center"/>
          </w:tcPr>
          <w:p w14:paraId="64E51DAE" w14:textId="77777777" w:rsidR="00A52991" w:rsidRDefault="00A52991" w:rsidP="00475C92">
            <w:pPr>
              <w:ind w:left="0"/>
            </w:pPr>
          </w:p>
        </w:tc>
      </w:tr>
      <w:tr w:rsidR="004E2D2E" w:rsidRPr="00EF4879" w14:paraId="525D03BC" w14:textId="77777777" w:rsidTr="604C6CA9">
        <w:trPr>
          <w:cantSplit/>
          <w:trHeight w:val="288"/>
          <w:jc w:val="center"/>
        </w:trPr>
        <w:tc>
          <w:tcPr>
            <w:tcW w:w="447" w:type="dxa"/>
            <w:tcMar>
              <w:left w:w="0" w:type="dxa"/>
              <w:right w:w="0" w:type="dxa"/>
            </w:tcMar>
          </w:tcPr>
          <w:p w14:paraId="450D80D4" w14:textId="43F1E1AB" w:rsidR="004E2D2E" w:rsidRDefault="008970B4" w:rsidP="0095420F">
            <w:pPr>
              <w:ind w:left="0"/>
              <w:jc w:val="center"/>
            </w:pPr>
            <w:r>
              <w:t>7</w:t>
            </w:r>
          </w:p>
        </w:tc>
        <w:tc>
          <w:tcPr>
            <w:tcW w:w="6390" w:type="dxa"/>
            <w:vAlign w:val="center"/>
          </w:tcPr>
          <w:p w14:paraId="4E4A0454" w14:textId="77777777" w:rsidR="004E2D2E" w:rsidRPr="00315CE0" w:rsidRDefault="004E2D2E" w:rsidP="00CE64CD">
            <w:pPr>
              <w:ind w:left="0"/>
              <w:rPr>
                <w:b/>
              </w:rPr>
            </w:pPr>
            <w:r w:rsidRPr="00315CE0">
              <w:rPr>
                <w:b/>
              </w:rPr>
              <w:t>The Saigon International University</w:t>
            </w:r>
          </w:p>
          <w:p w14:paraId="03596724" w14:textId="15A10139" w:rsidR="00591BD0" w:rsidRDefault="00C95242" w:rsidP="00CE64CD">
            <w:pPr>
              <w:ind w:left="0"/>
            </w:pPr>
            <w:r>
              <w:rPr>
                <w:bCs/>
              </w:rPr>
              <w:t xml:space="preserve">Moved and seconded to </w:t>
            </w:r>
            <w:r>
              <w:t>a</w:t>
            </w:r>
            <w:r w:rsidR="00591BD0">
              <w:t>ccredit with no notes and no observations</w:t>
            </w:r>
            <w:r>
              <w:t>.</w:t>
            </w:r>
          </w:p>
          <w:p w14:paraId="32142DFE" w14:textId="17D67FBC" w:rsidR="00C95242" w:rsidRDefault="00C95242" w:rsidP="00CE64CD">
            <w:pPr>
              <w:ind w:left="0"/>
              <w:rPr>
                <w:bCs/>
              </w:rPr>
            </w:pPr>
            <w:r>
              <w:rPr>
                <w:bCs/>
              </w:rPr>
              <w:t>Motion passed.</w:t>
            </w:r>
          </w:p>
        </w:tc>
        <w:tc>
          <w:tcPr>
            <w:tcW w:w="2533" w:type="dxa"/>
            <w:vAlign w:val="center"/>
          </w:tcPr>
          <w:p w14:paraId="40E53D51" w14:textId="77777777" w:rsidR="00475C92" w:rsidRDefault="00475C92" w:rsidP="00475C92">
            <w:pPr>
              <w:ind w:left="0"/>
            </w:pPr>
            <w:r>
              <w:t>Accr. expires 4-30-27</w:t>
            </w:r>
          </w:p>
          <w:p w14:paraId="4B352F1B" w14:textId="356E2C7C" w:rsidR="004E2D2E" w:rsidRDefault="00475C92" w:rsidP="00475C92">
            <w:pPr>
              <w:ind w:left="0"/>
            </w:pPr>
            <w:r>
              <w:t>IQAR due 11-1-24</w:t>
            </w:r>
          </w:p>
        </w:tc>
      </w:tr>
      <w:tr w:rsidR="0095420F" w:rsidRPr="00EF4879" w14:paraId="56CE3449" w14:textId="77777777" w:rsidTr="604C6CA9">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1AFD9678" w14:textId="77777777" w:rsidR="0095420F" w:rsidRPr="00243A83" w:rsidRDefault="3F2FABD2" w:rsidP="3F2FABD2">
            <w:pPr>
              <w:ind w:left="0"/>
              <w:jc w:val="center"/>
              <w:rPr>
                <w:b/>
                <w:bCs/>
              </w:rPr>
            </w:pPr>
            <w:r w:rsidRPr="3F2FABD2">
              <w:rPr>
                <w:b/>
                <w:bCs/>
              </w:rPr>
              <w:t>C</w:t>
            </w:r>
          </w:p>
        </w:tc>
        <w:tc>
          <w:tcPr>
            <w:tcW w:w="8923" w:type="dxa"/>
            <w:gridSpan w:val="2"/>
            <w:shd w:val="clear" w:color="auto" w:fill="DBE5F1" w:themeFill="accent1" w:themeFillTint="33"/>
            <w:tcMar>
              <w:top w:w="0" w:type="dxa"/>
              <w:bottom w:w="0" w:type="dxa"/>
            </w:tcMar>
            <w:vAlign w:val="center"/>
          </w:tcPr>
          <w:p w14:paraId="0D82323E" w14:textId="6A7B91F2" w:rsidR="0095420F" w:rsidRPr="001811E4" w:rsidRDefault="604C6CA9" w:rsidP="001811E4">
            <w:pPr>
              <w:ind w:left="0"/>
              <w:jc w:val="center"/>
              <w:rPr>
                <w:b/>
                <w:bCs/>
              </w:rPr>
            </w:pPr>
            <w:r w:rsidRPr="001811E4">
              <w:rPr>
                <w:b/>
                <w:bCs/>
              </w:rPr>
              <w:t>REAFFIRMATION OF ACCREDITATION REVIEWS</w:t>
            </w:r>
          </w:p>
        </w:tc>
      </w:tr>
      <w:tr w:rsidR="00B05C5E" w:rsidRPr="00EF4879" w14:paraId="3119D9AA" w14:textId="77777777" w:rsidTr="604C6CA9">
        <w:trPr>
          <w:cantSplit/>
          <w:trHeight w:val="432"/>
          <w:jc w:val="center"/>
        </w:trPr>
        <w:tc>
          <w:tcPr>
            <w:tcW w:w="447" w:type="dxa"/>
            <w:tcMar>
              <w:left w:w="0" w:type="dxa"/>
              <w:right w:w="0" w:type="dxa"/>
            </w:tcMar>
            <w:vAlign w:val="center"/>
          </w:tcPr>
          <w:p w14:paraId="3FB8C476" w14:textId="58F55C7C" w:rsidR="00B05C5E" w:rsidRPr="00B40761" w:rsidRDefault="008970B4" w:rsidP="00B038AC">
            <w:pPr>
              <w:ind w:left="0"/>
              <w:jc w:val="center"/>
            </w:pPr>
            <w:r>
              <w:t>8</w:t>
            </w:r>
          </w:p>
        </w:tc>
        <w:tc>
          <w:tcPr>
            <w:tcW w:w="6390" w:type="dxa"/>
            <w:vAlign w:val="center"/>
          </w:tcPr>
          <w:p w14:paraId="3276D532" w14:textId="77777777" w:rsidR="00B05C5E" w:rsidRPr="00315CE0" w:rsidRDefault="004E2D2E" w:rsidP="00CE64CD">
            <w:pPr>
              <w:ind w:left="0"/>
              <w:rPr>
                <w:b/>
                <w:bCs/>
              </w:rPr>
            </w:pPr>
            <w:r w:rsidRPr="00315CE0">
              <w:rPr>
                <w:b/>
                <w:bCs/>
              </w:rPr>
              <w:t>AIMS Institutes</w:t>
            </w:r>
          </w:p>
          <w:p w14:paraId="03B4B33E" w14:textId="3217A0E2" w:rsidR="00591BD0" w:rsidRDefault="00C95242" w:rsidP="00CE64CD">
            <w:pPr>
              <w:ind w:left="0"/>
            </w:pPr>
            <w:r>
              <w:rPr>
                <w:bCs/>
              </w:rPr>
              <w:t xml:space="preserve">Moved and seconded to </w:t>
            </w:r>
            <w:r>
              <w:t>a</w:t>
            </w:r>
            <w:r w:rsidR="00591BD0">
              <w:t>ccredit with no notes and no observations</w:t>
            </w:r>
            <w:r>
              <w:t>.</w:t>
            </w:r>
          </w:p>
          <w:p w14:paraId="2E55CAF2" w14:textId="464CF93C" w:rsidR="00C95242" w:rsidRPr="00EF4879" w:rsidRDefault="00C95242" w:rsidP="00CE64CD">
            <w:pPr>
              <w:ind w:left="0"/>
            </w:pPr>
            <w:r>
              <w:rPr>
                <w:bCs/>
              </w:rPr>
              <w:t>Motion passed.</w:t>
            </w:r>
          </w:p>
        </w:tc>
        <w:tc>
          <w:tcPr>
            <w:tcW w:w="2533" w:type="dxa"/>
            <w:vAlign w:val="center"/>
          </w:tcPr>
          <w:p w14:paraId="3D212131" w14:textId="77777777" w:rsidR="00475C92" w:rsidRDefault="00475C92" w:rsidP="00475C92">
            <w:pPr>
              <w:ind w:left="0"/>
            </w:pPr>
            <w:r>
              <w:t>Accr. expires 4-30-27</w:t>
            </w:r>
          </w:p>
          <w:p w14:paraId="2FC4EF37" w14:textId="3B031BC2" w:rsidR="00B05C5E" w:rsidRPr="00EF4879" w:rsidRDefault="00475C92" w:rsidP="00475C92">
            <w:pPr>
              <w:ind w:left="0"/>
            </w:pPr>
            <w:r>
              <w:t>IQAR due 11-1-24</w:t>
            </w:r>
          </w:p>
        </w:tc>
      </w:tr>
      <w:tr w:rsidR="00A52991" w:rsidRPr="00EF4879" w14:paraId="519E6A10" w14:textId="77777777" w:rsidTr="604C6CA9">
        <w:trPr>
          <w:cantSplit/>
          <w:trHeight w:val="432"/>
          <w:jc w:val="center"/>
        </w:trPr>
        <w:tc>
          <w:tcPr>
            <w:tcW w:w="447" w:type="dxa"/>
            <w:tcMar>
              <w:left w:w="0" w:type="dxa"/>
              <w:right w:w="0" w:type="dxa"/>
            </w:tcMar>
          </w:tcPr>
          <w:p w14:paraId="24613281" w14:textId="77777777" w:rsidR="00A52991" w:rsidRDefault="00A52991" w:rsidP="00B05C5E">
            <w:pPr>
              <w:ind w:left="0"/>
              <w:jc w:val="center"/>
            </w:pPr>
          </w:p>
        </w:tc>
        <w:tc>
          <w:tcPr>
            <w:tcW w:w="6390" w:type="dxa"/>
            <w:vAlign w:val="center"/>
          </w:tcPr>
          <w:p w14:paraId="3FDB4020" w14:textId="0A0FF3AD" w:rsidR="00A52991" w:rsidRPr="00315CE0" w:rsidRDefault="00A52991" w:rsidP="00CE64CD">
            <w:pPr>
              <w:ind w:left="0"/>
              <w:rPr>
                <w:b/>
                <w:bCs/>
              </w:rPr>
            </w:pPr>
            <w:r w:rsidRPr="00A52991">
              <w:rPr>
                <w:bCs/>
              </w:rPr>
              <w:t>Gavel was passed</w:t>
            </w:r>
            <w:r>
              <w:rPr>
                <w:bCs/>
              </w:rPr>
              <w:t xml:space="preserve"> back</w:t>
            </w:r>
            <w:r w:rsidRPr="00A52991">
              <w:rPr>
                <w:bCs/>
              </w:rPr>
              <w:t xml:space="preserve"> to Chair Pat Hafford</w:t>
            </w:r>
            <w:r>
              <w:rPr>
                <w:bCs/>
              </w:rPr>
              <w:t>.</w:t>
            </w:r>
          </w:p>
        </w:tc>
        <w:tc>
          <w:tcPr>
            <w:tcW w:w="2533" w:type="dxa"/>
            <w:vAlign w:val="center"/>
          </w:tcPr>
          <w:p w14:paraId="5937ED7B" w14:textId="77777777" w:rsidR="00A52991" w:rsidRDefault="00A52991" w:rsidP="00475C92">
            <w:pPr>
              <w:ind w:left="0"/>
            </w:pPr>
          </w:p>
        </w:tc>
      </w:tr>
      <w:tr w:rsidR="00B05C5E" w:rsidRPr="00EF4879" w14:paraId="040EB7FF" w14:textId="77777777" w:rsidTr="604C6CA9">
        <w:trPr>
          <w:cantSplit/>
          <w:trHeight w:val="432"/>
          <w:jc w:val="center"/>
        </w:trPr>
        <w:tc>
          <w:tcPr>
            <w:tcW w:w="447" w:type="dxa"/>
            <w:tcMar>
              <w:left w:w="0" w:type="dxa"/>
              <w:right w:w="0" w:type="dxa"/>
            </w:tcMar>
          </w:tcPr>
          <w:p w14:paraId="47C00994" w14:textId="57E9D45E" w:rsidR="00B05C5E" w:rsidRPr="00B40761" w:rsidRDefault="008970B4" w:rsidP="00B05C5E">
            <w:pPr>
              <w:ind w:left="0"/>
              <w:jc w:val="center"/>
            </w:pPr>
            <w:r>
              <w:t>9</w:t>
            </w:r>
          </w:p>
        </w:tc>
        <w:tc>
          <w:tcPr>
            <w:tcW w:w="6390" w:type="dxa"/>
            <w:vAlign w:val="center"/>
          </w:tcPr>
          <w:p w14:paraId="495F20E0" w14:textId="77777777" w:rsidR="00B05C5E" w:rsidRPr="00315CE0" w:rsidRDefault="004E2D2E" w:rsidP="00CE64CD">
            <w:pPr>
              <w:ind w:left="0"/>
              <w:rPr>
                <w:b/>
                <w:bCs/>
              </w:rPr>
            </w:pPr>
            <w:r w:rsidRPr="00315CE0">
              <w:rPr>
                <w:b/>
                <w:bCs/>
              </w:rPr>
              <w:t>Fitchburg State University</w:t>
            </w:r>
          </w:p>
          <w:p w14:paraId="01A16DA5" w14:textId="0FCC4C8E" w:rsidR="00591BD0" w:rsidRDefault="00C95242" w:rsidP="00CE64CD">
            <w:pPr>
              <w:ind w:left="0"/>
            </w:pPr>
            <w:r>
              <w:rPr>
                <w:bCs/>
              </w:rPr>
              <w:t xml:space="preserve">Moved and seconded to </w:t>
            </w:r>
            <w:r>
              <w:t>a</w:t>
            </w:r>
            <w:r w:rsidR="00591BD0">
              <w:t xml:space="preserve">ccredit with one note on Prin 5.1 and request copies of transcripts for each program. </w:t>
            </w:r>
            <w:r w:rsidR="00475C92">
              <w:t>Asked w</w:t>
            </w:r>
            <w:r w:rsidR="00591BD0">
              <w:t>hy MBA Healthcare is not included – recommend including all MBA concentrations</w:t>
            </w:r>
            <w:r>
              <w:t>.</w:t>
            </w:r>
          </w:p>
          <w:p w14:paraId="2D3C3CCC" w14:textId="28F7F6C2" w:rsidR="00C95242" w:rsidRPr="00EF4879" w:rsidRDefault="00C95242" w:rsidP="00CE64CD">
            <w:pPr>
              <w:ind w:left="0"/>
            </w:pPr>
            <w:r>
              <w:rPr>
                <w:bCs/>
              </w:rPr>
              <w:t>Motion passed.</w:t>
            </w:r>
          </w:p>
        </w:tc>
        <w:tc>
          <w:tcPr>
            <w:tcW w:w="2533" w:type="dxa"/>
            <w:vAlign w:val="center"/>
          </w:tcPr>
          <w:p w14:paraId="77CF0330" w14:textId="77777777" w:rsidR="00475C92" w:rsidRDefault="00475C92" w:rsidP="00475C92">
            <w:pPr>
              <w:ind w:left="0"/>
            </w:pPr>
            <w:r>
              <w:t>Accr. expires 4-30-27</w:t>
            </w:r>
          </w:p>
          <w:p w14:paraId="2956DAA5" w14:textId="5BBA51B5" w:rsidR="00FA2070" w:rsidRDefault="00475C92" w:rsidP="00475C92">
            <w:pPr>
              <w:ind w:left="0"/>
            </w:pPr>
            <w:r>
              <w:t>IQAR due 11-1-24</w:t>
            </w:r>
          </w:p>
        </w:tc>
      </w:tr>
      <w:tr w:rsidR="0067387F" w:rsidRPr="00EF4879" w14:paraId="66A5C822" w14:textId="77777777" w:rsidTr="604C6CA9">
        <w:trPr>
          <w:cantSplit/>
          <w:trHeight w:val="432"/>
          <w:jc w:val="center"/>
        </w:trPr>
        <w:tc>
          <w:tcPr>
            <w:tcW w:w="447" w:type="dxa"/>
            <w:tcMar>
              <w:left w:w="0" w:type="dxa"/>
              <w:right w:w="0" w:type="dxa"/>
            </w:tcMar>
          </w:tcPr>
          <w:p w14:paraId="18C2B753" w14:textId="477A039E" w:rsidR="0067387F" w:rsidRPr="00B40761" w:rsidRDefault="008970B4" w:rsidP="00B05C5E">
            <w:pPr>
              <w:ind w:left="0"/>
              <w:jc w:val="center"/>
            </w:pPr>
            <w:r>
              <w:t>10</w:t>
            </w:r>
          </w:p>
        </w:tc>
        <w:tc>
          <w:tcPr>
            <w:tcW w:w="6390" w:type="dxa"/>
            <w:vAlign w:val="center"/>
          </w:tcPr>
          <w:p w14:paraId="5BD496EC" w14:textId="77777777" w:rsidR="0067387F" w:rsidRPr="00315CE0" w:rsidRDefault="004E2D2E" w:rsidP="00CE64CD">
            <w:pPr>
              <w:ind w:left="0"/>
              <w:rPr>
                <w:rFonts w:ascii="Calibri" w:eastAsia="Times New Roman" w:hAnsi="Calibri" w:cs="Calibri"/>
                <w:b/>
                <w:bCs/>
              </w:rPr>
            </w:pPr>
            <w:r w:rsidRPr="00315CE0">
              <w:rPr>
                <w:rFonts w:ascii="Calibri" w:eastAsia="Times New Roman" w:hAnsi="Calibri" w:cs="Calibri"/>
                <w:b/>
                <w:bCs/>
              </w:rPr>
              <w:t>University of Sioux Falls</w:t>
            </w:r>
          </w:p>
          <w:p w14:paraId="5F127C89" w14:textId="70BA17A8" w:rsidR="00591BD0" w:rsidRDefault="00C95242" w:rsidP="00CE64CD">
            <w:pPr>
              <w:ind w:left="0"/>
            </w:pPr>
            <w:r>
              <w:rPr>
                <w:bCs/>
              </w:rPr>
              <w:t xml:space="preserve">Moved and seconded to </w:t>
            </w:r>
            <w:r>
              <w:t>a</w:t>
            </w:r>
            <w:r w:rsidR="00591BD0">
              <w:t xml:space="preserve">ccredit with no notes and </w:t>
            </w:r>
            <w:r w:rsidR="00475C92">
              <w:t xml:space="preserve">two </w:t>
            </w:r>
            <w:r w:rsidR="00591BD0">
              <w:t>observations on principles 4.5 and 6.4 (used old principles)</w:t>
            </w:r>
            <w:r>
              <w:t>.</w:t>
            </w:r>
          </w:p>
          <w:p w14:paraId="00FFACA5" w14:textId="6340873B" w:rsidR="00C95242" w:rsidRDefault="00C95242" w:rsidP="00CE64CD">
            <w:pPr>
              <w:ind w:left="0"/>
              <w:rPr>
                <w:rFonts w:ascii="Calibri" w:eastAsia="Times New Roman" w:hAnsi="Calibri" w:cs="Calibri"/>
              </w:rPr>
            </w:pPr>
            <w:r>
              <w:rPr>
                <w:bCs/>
              </w:rPr>
              <w:t>Motion passed.</w:t>
            </w:r>
          </w:p>
        </w:tc>
        <w:tc>
          <w:tcPr>
            <w:tcW w:w="2533" w:type="dxa"/>
            <w:vAlign w:val="center"/>
          </w:tcPr>
          <w:p w14:paraId="6A17627E" w14:textId="77777777" w:rsidR="00475C92" w:rsidRDefault="00475C92" w:rsidP="00475C92">
            <w:pPr>
              <w:ind w:left="0"/>
            </w:pPr>
            <w:r>
              <w:t>Accr. expires 4-30-27</w:t>
            </w:r>
          </w:p>
          <w:p w14:paraId="6B8EF6FA" w14:textId="1E2A6281" w:rsidR="0067387F" w:rsidRDefault="00475C92" w:rsidP="00475C92">
            <w:pPr>
              <w:ind w:left="0"/>
            </w:pPr>
            <w:r>
              <w:t>IQAR due 11-1-24</w:t>
            </w:r>
          </w:p>
        </w:tc>
      </w:tr>
      <w:tr w:rsidR="00B05C5E" w:rsidRPr="00EF4879" w14:paraId="1B285B60" w14:textId="77777777" w:rsidTr="604C6CA9">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025F8BD0" w14:textId="1372151B" w:rsidR="00B05C5E" w:rsidRPr="0046677C" w:rsidRDefault="00B93BBF" w:rsidP="00B05C5E">
            <w:pPr>
              <w:ind w:left="0"/>
              <w:jc w:val="center"/>
              <w:rPr>
                <w:b/>
                <w:bCs/>
              </w:rPr>
            </w:pPr>
            <w:r>
              <w:rPr>
                <w:b/>
                <w:bCs/>
              </w:rPr>
              <w:t>D</w:t>
            </w:r>
          </w:p>
        </w:tc>
        <w:tc>
          <w:tcPr>
            <w:tcW w:w="8923" w:type="dxa"/>
            <w:gridSpan w:val="2"/>
            <w:shd w:val="clear" w:color="auto" w:fill="DBE5F1" w:themeFill="accent1" w:themeFillTint="33"/>
            <w:tcMar>
              <w:top w:w="0" w:type="dxa"/>
              <w:bottom w:w="0" w:type="dxa"/>
            </w:tcMar>
            <w:vAlign w:val="center"/>
          </w:tcPr>
          <w:p w14:paraId="26836E3A" w14:textId="3E793FA5" w:rsidR="00B05C5E" w:rsidRPr="001811E4" w:rsidRDefault="604C6CA9" w:rsidP="001811E4">
            <w:pPr>
              <w:ind w:left="0"/>
              <w:jc w:val="center"/>
              <w:rPr>
                <w:b/>
                <w:bCs/>
              </w:rPr>
            </w:pPr>
            <w:r w:rsidRPr="001811E4">
              <w:rPr>
                <w:b/>
                <w:bCs/>
              </w:rPr>
              <w:t>ACCOUNTING ACCREDITATION REVIEWS</w:t>
            </w:r>
          </w:p>
        </w:tc>
      </w:tr>
      <w:tr w:rsidR="00B05C5E" w14:paraId="7DA4DE3F" w14:textId="77777777" w:rsidTr="604C6CA9">
        <w:trPr>
          <w:cantSplit/>
          <w:trHeight w:val="288"/>
          <w:jc w:val="center"/>
        </w:trPr>
        <w:tc>
          <w:tcPr>
            <w:tcW w:w="447" w:type="dxa"/>
            <w:tcMar>
              <w:left w:w="0" w:type="dxa"/>
              <w:right w:w="0" w:type="dxa"/>
            </w:tcMar>
            <w:vAlign w:val="center"/>
          </w:tcPr>
          <w:p w14:paraId="7646341C" w14:textId="2EE99865" w:rsidR="00B05C5E" w:rsidRDefault="00B05C5E" w:rsidP="00B05C5E">
            <w:pPr>
              <w:ind w:left="0"/>
              <w:jc w:val="center"/>
            </w:pPr>
          </w:p>
        </w:tc>
        <w:tc>
          <w:tcPr>
            <w:tcW w:w="6390" w:type="dxa"/>
            <w:vAlign w:val="center"/>
          </w:tcPr>
          <w:p w14:paraId="7E4A05E3" w14:textId="1DB7CA82" w:rsidR="00B05C5E" w:rsidRDefault="004E2D2E" w:rsidP="00B05C5E">
            <w:pPr>
              <w:ind w:left="0"/>
              <w:rPr>
                <w:bCs/>
              </w:rPr>
            </w:pPr>
            <w:r>
              <w:rPr>
                <w:bCs/>
              </w:rPr>
              <w:t>none</w:t>
            </w:r>
          </w:p>
        </w:tc>
        <w:tc>
          <w:tcPr>
            <w:tcW w:w="2533" w:type="dxa"/>
            <w:vAlign w:val="center"/>
          </w:tcPr>
          <w:p w14:paraId="78D0CF12" w14:textId="74494C60" w:rsidR="00B05C5E" w:rsidRDefault="00B05C5E" w:rsidP="00B05C5E">
            <w:pPr>
              <w:ind w:left="0"/>
              <w:rPr>
                <w:bCs/>
              </w:rPr>
            </w:pPr>
          </w:p>
        </w:tc>
      </w:tr>
      <w:tr w:rsidR="00B05C5E" w:rsidRPr="00EF4879" w14:paraId="5372C588" w14:textId="77777777" w:rsidTr="604C6CA9">
        <w:trPr>
          <w:cantSplit/>
          <w:trHeight w:val="432"/>
          <w:jc w:val="center"/>
        </w:trPr>
        <w:tc>
          <w:tcPr>
            <w:tcW w:w="447" w:type="dxa"/>
            <w:shd w:val="clear" w:color="auto" w:fill="DBE5F1" w:themeFill="accent1" w:themeFillTint="33"/>
            <w:tcMar>
              <w:top w:w="0" w:type="dxa"/>
              <w:bottom w:w="0" w:type="dxa"/>
            </w:tcMar>
            <w:vAlign w:val="center"/>
          </w:tcPr>
          <w:p w14:paraId="7F05D00B" w14:textId="14477174" w:rsidR="00B05C5E" w:rsidRDefault="00B93BBF" w:rsidP="00B05C5E">
            <w:pPr>
              <w:ind w:left="0"/>
              <w:jc w:val="center"/>
              <w:rPr>
                <w:b/>
                <w:bCs/>
              </w:rPr>
            </w:pPr>
            <w:r>
              <w:rPr>
                <w:b/>
                <w:bCs/>
              </w:rPr>
              <w:t>E</w:t>
            </w:r>
          </w:p>
        </w:tc>
        <w:tc>
          <w:tcPr>
            <w:tcW w:w="8923" w:type="dxa"/>
            <w:gridSpan w:val="2"/>
            <w:shd w:val="clear" w:color="auto" w:fill="DBE5F1" w:themeFill="accent1" w:themeFillTint="33"/>
            <w:tcMar>
              <w:top w:w="0" w:type="dxa"/>
              <w:bottom w:w="0" w:type="dxa"/>
            </w:tcMar>
            <w:vAlign w:val="center"/>
          </w:tcPr>
          <w:p w14:paraId="1D0B3EBE" w14:textId="6C4A8EEB" w:rsidR="00B05C5E" w:rsidRPr="00EF4879" w:rsidRDefault="004B181E" w:rsidP="00B05C5E">
            <w:pPr>
              <w:ind w:left="0"/>
              <w:jc w:val="center"/>
              <w:rPr>
                <w:b/>
                <w:bCs/>
              </w:rPr>
            </w:pPr>
            <w:r>
              <w:rPr>
                <w:b/>
                <w:bCs/>
              </w:rPr>
              <w:t>NEW LOCATIONS</w:t>
            </w:r>
          </w:p>
        </w:tc>
      </w:tr>
      <w:tr w:rsidR="004B181E" w:rsidRPr="00EF4879" w14:paraId="3367865B" w14:textId="77777777" w:rsidTr="604C6CA9">
        <w:trPr>
          <w:cantSplit/>
          <w:trHeight w:val="432"/>
          <w:jc w:val="center"/>
        </w:trPr>
        <w:tc>
          <w:tcPr>
            <w:tcW w:w="447" w:type="dxa"/>
            <w:shd w:val="clear" w:color="auto" w:fill="auto"/>
            <w:tcMar>
              <w:top w:w="0" w:type="dxa"/>
              <w:bottom w:w="0" w:type="dxa"/>
            </w:tcMar>
            <w:vAlign w:val="center"/>
          </w:tcPr>
          <w:p w14:paraId="3181BBBB" w14:textId="454A0AF8" w:rsidR="004B181E" w:rsidRPr="00AC40AA" w:rsidRDefault="00AC40AA" w:rsidP="00AC40AA">
            <w:pPr>
              <w:tabs>
                <w:tab w:val="left" w:pos="330"/>
              </w:tabs>
              <w:ind w:left="0" w:right="-110"/>
            </w:pPr>
            <w:r>
              <w:lastRenderedPageBreak/>
              <w:t xml:space="preserve"> </w:t>
            </w:r>
          </w:p>
        </w:tc>
        <w:tc>
          <w:tcPr>
            <w:tcW w:w="8923" w:type="dxa"/>
            <w:gridSpan w:val="2"/>
            <w:shd w:val="clear" w:color="auto" w:fill="auto"/>
            <w:tcMar>
              <w:top w:w="0" w:type="dxa"/>
              <w:bottom w:w="0" w:type="dxa"/>
            </w:tcMar>
            <w:vAlign w:val="center"/>
          </w:tcPr>
          <w:p w14:paraId="590BC3E8" w14:textId="34A2EA55" w:rsidR="004B181E" w:rsidRPr="004B181E" w:rsidRDefault="004B181E" w:rsidP="004B181E">
            <w:pPr>
              <w:ind w:left="0"/>
            </w:pPr>
            <w:r>
              <w:t>None</w:t>
            </w:r>
          </w:p>
        </w:tc>
      </w:tr>
      <w:tr w:rsidR="004B181E" w:rsidRPr="00EF4879" w14:paraId="36603339" w14:textId="77777777" w:rsidTr="604C6CA9">
        <w:trPr>
          <w:cantSplit/>
          <w:trHeight w:val="432"/>
          <w:jc w:val="center"/>
        </w:trPr>
        <w:tc>
          <w:tcPr>
            <w:tcW w:w="447" w:type="dxa"/>
            <w:shd w:val="clear" w:color="auto" w:fill="DBE5F1" w:themeFill="accent1" w:themeFillTint="33"/>
            <w:tcMar>
              <w:top w:w="0" w:type="dxa"/>
              <w:bottom w:w="0" w:type="dxa"/>
            </w:tcMar>
            <w:vAlign w:val="center"/>
          </w:tcPr>
          <w:p w14:paraId="1FC8954B" w14:textId="017C019F" w:rsidR="004B181E" w:rsidRDefault="004B181E" w:rsidP="00B05C5E">
            <w:pPr>
              <w:ind w:left="0"/>
              <w:jc w:val="center"/>
              <w:rPr>
                <w:b/>
                <w:bCs/>
              </w:rPr>
            </w:pPr>
            <w:r>
              <w:rPr>
                <w:b/>
                <w:bCs/>
              </w:rPr>
              <w:t>F</w:t>
            </w:r>
          </w:p>
        </w:tc>
        <w:tc>
          <w:tcPr>
            <w:tcW w:w="8923" w:type="dxa"/>
            <w:gridSpan w:val="2"/>
            <w:shd w:val="clear" w:color="auto" w:fill="DBE5F1" w:themeFill="accent1" w:themeFillTint="33"/>
            <w:tcMar>
              <w:top w:w="0" w:type="dxa"/>
              <w:bottom w:w="0" w:type="dxa"/>
            </w:tcMar>
            <w:vAlign w:val="center"/>
          </w:tcPr>
          <w:p w14:paraId="6D14146B" w14:textId="1DA8896B" w:rsidR="004B181E" w:rsidRPr="3F2FABD2" w:rsidRDefault="004B181E" w:rsidP="00B05C5E">
            <w:pPr>
              <w:ind w:left="0"/>
              <w:jc w:val="center"/>
              <w:rPr>
                <w:b/>
                <w:bCs/>
              </w:rPr>
            </w:pPr>
            <w:r>
              <w:rPr>
                <w:b/>
                <w:bCs/>
              </w:rPr>
              <w:t>CANDIDACY REVIEWS</w:t>
            </w:r>
          </w:p>
        </w:tc>
      </w:tr>
      <w:tr w:rsidR="00A52991" w:rsidRPr="00EF4879" w14:paraId="551BDF54" w14:textId="77777777" w:rsidTr="604C6CA9">
        <w:trPr>
          <w:cantSplit/>
          <w:trHeight w:val="288"/>
          <w:jc w:val="center"/>
        </w:trPr>
        <w:tc>
          <w:tcPr>
            <w:tcW w:w="447" w:type="dxa"/>
            <w:tcMar>
              <w:left w:w="0" w:type="dxa"/>
              <w:right w:w="0" w:type="dxa"/>
            </w:tcMar>
            <w:vAlign w:val="center"/>
          </w:tcPr>
          <w:p w14:paraId="6CCE8DA5" w14:textId="77777777" w:rsidR="00A52991" w:rsidRDefault="00A52991" w:rsidP="604C6CA9">
            <w:pPr>
              <w:ind w:left="0"/>
              <w:jc w:val="center"/>
            </w:pPr>
          </w:p>
        </w:tc>
        <w:tc>
          <w:tcPr>
            <w:tcW w:w="6390" w:type="dxa"/>
            <w:vAlign w:val="center"/>
          </w:tcPr>
          <w:p w14:paraId="4B1CE030" w14:textId="295373CE" w:rsidR="00A52991" w:rsidRPr="00315CE0" w:rsidRDefault="00A52991" w:rsidP="604C6CA9">
            <w:pPr>
              <w:ind w:left="0"/>
              <w:rPr>
                <w:rFonts w:ascii="Calibri" w:eastAsia="Times New Roman" w:hAnsi="Calibri" w:cs="Calibri"/>
                <w:b/>
                <w:bCs/>
              </w:rPr>
            </w:pPr>
            <w:r w:rsidRPr="00A52991">
              <w:rPr>
                <w:bCs/>
              </w:rPr>
              <w:t>Gavel was passed to Vice-Chair, Scott Schroeder, as the Chair Pat Hafford, was the primary reader.</w:t>
            </w:r>
          </w:p>
        </w:tc>
        <w:tc>
          <w:tcPr>
            <w:tcW w:w="2533" w:type="dxa"/>
            <w:vAlign w:val="center"/>
          </w:tcPr>
          <w:p w14:paraId="2DD164FC" w14:textId="77777777" w:rsidR="00A52991" w:rsidRDefault="00A52991" w:rsidP="604C6CA9">
            <w:pPr>
              <w:ind w:left="0"/>
            </w:pPr>
          </w:p>
        </w:tc>
      </w:tr>
      <w:tr w:rsidR="00B038AC" w:rsidRPr="00EF4879" w14:paraId="4D19799D" w14:textId="77777777" w:rsidTr="604C6CA9">
        <w:trPr>
          <w:cantSplit/>
          <w:trHeight w:val="288"/>
          <w:jc w:val="center"/>
        </w:trPr>
        <w:tc>
          <w:tcPr>
            <w:tcW w:w="447" w:type="dxa"/>
            <w:tcMar>
              <w:left w:w="0" w:type="dxa"/>
              <w:right w:w="0" w:type="dxa"/>
            </w:tcMar>
            <w:vAlign w:val="center"/>
          </w:tcPr>
          <w:p w14:paraId="20EF5D3B" w14:textId="0B638AFB" w:rsidR="00B038AC" w:rsidRPr="004E2D2E" w:rsidRDefault="008970B4" w:rsidP="604C6CA9">
            <w:pPr>
              <w:ind w:left="0"/>
              <w:jc w:val="center"/>
            </w:pPr>
            <w:r>
              <w:t>11</w:t>
            </w:r>
          </w:p>
        </w:tc>
        <w:tc>
          <w:tcPr>
            <w:tcW w:w="6390" w:type="dxa"/>
            <w:vAlign w:val="center"/>
          </w:tcPr>
          <w:p w14:paraId="6494C977" w14:textId="77777777" w:rsidR="00B038AC" w:rsidRPr="00315CE0" w:rsidRDefault="004E2D2E" w:rsidP="604C6CA9">
            <w:pPr>
              <w:ind w:left="0"/>
              <w:rPr>
                <w:rFonts w:ascii="Calibri" w:eastAsia="Times New Roman" w:hAnsi="Calibri" w:cs="Calibri"/>
                <w:b/>
                <w:bCs/>
              </w:rPr>
            </w:pPr>
            <w:r w:rsidRPr="00315CE0">
              <w:rPr>
                <w:rFonts w:ascii="Calibri" w:eastAsia="Times New Roman" w:hAnsi="Calibri" w:cs="Calibri"/>
                <w:b/>
                <w:bCs/>
              </w:rPr>
              <w:t>Our Lady of Fatima</w:t>
            </w:r>
          </w:p>
          <w:p w14:paraId="19D85988" w14:textId="2B9864FF" w:rsidR="00591BD0" w:rsidRPr="004E2D2E" w:rsidRDefault="00475C92" w:rsidP="604C6CA9">
            <w:pPr>
              <w:ind w:left="0"/>
              <w:rPr>
                <w:rFonts w:ascii="Calibri" w:eastAsia="Times New Roman" w:hAnsi="Calibri" w:cs="Calibri"/>
              </w:rPr>
            </w:pPr>
            <w:r>
              <w:t>Tabled to June meeting – requested that staff work with the school to revise the OAP</w:t>
            </w:r>
            <w:r w:rsidR="00C95242">
              <w:t>.</w:t>
            </w:r>
          </w:p>
        </w:tc>
        <w:tc>
          <w:tcPr>
            <w:tcW w:w="2533" w:type="dxa"/>
            <w:vAlign w:val="center"/>
          </w:tcPr>
          <w:p w14:paraId="1BEF799F" w14:textId="1EE05247" w:rsidR="00B038AC" w:rsidRPr="004E2D2E" w:rsidRDefault="00F8525F" w:rsidP="604C6CA9">
            <w:pPr>
              <w:ind w:left="0"/>
            </w:pPr>
            <w:r>
              <w:t>Tabled</w:t>
            </w:r>
          </w:p>
        </w:tc>
      </w:tr>
      <w:tr w:rsidR="00A52991" w:rsidRPr="00EF4879" w14:paraId="40C977CC" w14:textId="77777777" w:rsidTr="604C6CA9">
        <w:trPr>
          <w:cantSplit/>
          <w:trHeight w:val="288"/>
          <w:jc w:val="center"/>
        </w:trPr>
        <w:tc>
          <w:tcPr>
            <w:tcW w:w="447" w:type="dxa"/>
            <w:tcMar>
              <w:left w:w="0" w:type="dxa"/>
              <w:right w:w="0" w:type="dxa"/>
            </w:tcMar>
            <w:vAlign w:val="center"/>
          </w:tcPr>
          <w:p w14:paraId="3F8C0655" w14:textId="77777777" w:rsidR="00A52991" w:rsidRDefault="00A52991" w:rsidP="604C6CA9">
            <w:pPr>
              <w:ind w:left="0"/>
              <w:jc w:val="center"/>
            </w:pPr>
          </w:p>
        </w:tc>
        <w:tc>
          <w:tcPr>
            <w:tcW w:w="6390" w:type="dxa"/>
            <w:vAlign w:val="center"/>
          </w:tcPr>
          <w:p w14:paraId="79DBB56E" w14:textId="0C05A9A6" w:rsidR="00A52991" w:rsidRPr="00315CE0" w:rsidRDefault="00A52991" w:rsidP="604C6CA9">
            <w:pPr>
              <w:ind w:left="0"/>
              <w:rPr>
                <w:rFonts w:ascii="Calibri" w:eastAsia="Times New Roman" w:hAnsi="Calibri" w:cs="Calibri"/>
                <w:b/>
                <w:bCs/>
              </w:rPr>
            </w:pPr>
            <w:r w:rsidRPr="00A52991">
              <w:rPr>
                <w:bCs/>
              </w:rPr>
              <w:t>Gavel was passed</w:t>
            </w:r>
            <w:r>
              <w:rPr>
                <w:bCs/>
              </w:rPr>
              <w:t xml:space="preserve"> back</w:t>
            </w:r>
            <w:r w:rsidRPr="00A52991">
              <w:rPr>
                <w:bCs/>
              </w:rPr>
              <w:t xml:space="preserve"> to Chair Pat Hafford</w:t>
            </w:r>
            <w:r>
              <w:rPr>
                <w:bCs/>
              </w:rPr>
              <w:t>.</w:t>
            </w:r>
          </w:p>
        </w:tc>
        <w:tc>
          <w:tcPr>
            <w:tcW w:w="2533" w:type="dxa"/>
            <w:vAlign w:val="center"/>
          </w:tcPr>
          <w:p w14:paraId="7CCC32E5" w14:textId="77777777" w:rsidR="00A52991" w:rsidRDefault="00A52991" w:rsidP="604C6CA9">
            <w:pPr>
              <w:ind w:left="0"/>
            </w:pPr>
          </w:p>
        </w:tc>
      </w:tr>
      <w:tr w:rsidR="00420726" w:rsidRPr="00EF4879" w14:paraId="7A63BD28" w14:textId="77777777" w:rsidTr="604C6CA9">
        <w:trPr>
          <w:cantSplit/>
          <w:trHeight w:val="288"/>
          <w:jc w:val="center"/>
        </w:trPr>
        <w:tc>
          <w:tcPr>
            <w:tcW w:w="447" w:type="dxa"/>
            <w:tcMar>
              <w:left w:w="0" w:type="dxa"/>
              <w:right w:w="0" w:type="dxa"/>
            </w:tcMar>
            <w:vAlign w:val="center"/>
          </w:tcPr>
          <w:p w14:paraId="10FF277B" w14:textId="5725DCC6" w:rsidR="00420726" w:rsidRPr="004E2D2E" w:rsidRDefault="008970B4" w:rsidP="604C6CA9">
            <w:pPr>
              <w:ind w:left="0"/>
              <w:jc w:val="center"/>
            </w:pPr>
            <w:r>
              <w:t>12</w:t>
            </w:r>
          </w:p>
        </w:tc>
        <w:tc>
          <w:tcPr>
            <w:tcW w:w="6390" w:type="dxa"/>
            <w:vAlign w:val="center"/>
          </w:tcPr>
          <w:p w14:paraId="79BA9171" w14:textId="77777777" w:rsidR="00420726" w:rsidRPr="00315CE0" w:rsidRDefault="004E2D2E" w:rsidP="604C6CA9">
            <w:pPr>
              <w:ind w:left="0"/>
              <w:rPr>
                <w:rFonts w:ascii="Calibri" w:eastAsia="Times New Roman" w:hAnsi="Calibri" w:cs="Calibri"/>
                <w:b/>
                <w:bCs/>
              </w:rPr>
            </w:pPr>
            <w:r w:rsidRPr="00315CE0">
              <w:rPr>
                <w:rFonts w:ascii="Calibri" w:eastAsia="Times New Roman" w:hAnsi="Calibri" w:cs="Calibri"/>
                <w:b/>
                <w:bCs/>
              </w:rPr>
              <w:t>Siena Heights University</w:t>
            </w:r>
          </w:p>
          <w:p w14:paraId="427E0516" w14:textId="77777777" w:rsidR="00591BD0" w:rsidRDefault="00591BD0" w:rsidP="604C6CA9">
            <w:pPr>
              <w:ind w:left="0"/>
            </w:pPr>
            <w:r>
              <w:t xml:space="preserve">Fully prepared – </w:t>
            </w:r>
            <w:r w:rsidR="00C95242">
              <w:rPr>
                <w:bCs/>
              </w:rPr>
              <w:t xml:space="preserve">Moved and seconded to </w:t>
            </w:r>
            <w:r>
              <w:t>grant candidacy</w:t>
            </w:r>
            <w:r w:rsidR="00C95242">
              <w:t>.</w:t>
            </w:r>
          </w:p>
          <w:p w14:paraId="279A5135" w14:textId="7795F34E" w:rsidR="00C95242" w:rsidRPr="004E2D2E" w:rsidRDefault="00C95242" w:rsidP="604C6CA9">
            <w:pPr>
              <w:ind w:left="0"/>
              <w:rPr>
                <w:rFonts w:ascii="Calibri" w:eastAsia="Times New Roman" w:hAnsi="Calibri" w:cs="Calibri"/>
              </w:rPr>
            </w:pPr>
            <w:r>
              <w:rPr>
                <w:bCs/>
              </w:rPr>
              <w:t>Motion passed.</w:t>
            </w:r>
          </w:p>
        </w:tc>
        <w:tc>
          <w:tcPr>
            <w:tcW w:w="2533" w:type="dxa"/>
            <w:vAlign w:val="center"/>
          </w:tcPr>
          <w:p w14:paraId="662A2895" w14:textId="65DC8FA0" w:rsidR="00420726" w:rsidRPr="004E2D2E" w:rsidRDefault="00F8525F" w:rsidP="604C6CA9">
            <w:pPr>
              <w:ind w:left="0"/>
            </w:pPr>
            <w:r>
              <w:t>Candidacy expires April 30, 2025</w:t>
            </w:r>
          </w:p>
        </w:tc>
      </w:tr>
      <w:tr w:rsidR="00B05C5E" w:rsidRPr="00EF4879" w14:paraId="0A6218CC" w14:textId="77777777" w:rsidTr="604C6CA9">
        <w:trPr>
          <w:cantSplit/>
          <w:trHeight w:val="288"/>
          <w:jc w:val="center"/>
        </w:trPr>
        <w:tc>
          <w:tcPr>
            <w:tcW w:w="447" w:type="dxa"/>
            <w:tcMar>
              <w:left w:w="0" w:type="dxa"/>
              <w:right w:w="0" w:type="dxa"/>
            </w:tcMar>
            <w:vAlign w:val="center"/>
          </w:tcPr>
          <w:p w14:paraId="7510C952" w14:textId="378BF55D" w:rsidR="00B05C5E" w:rsidRPr="004E2D2E" w:rsidRDefault="604C6CA9" w:rsidP="604C6CA9">
            <w:pPr>
              <w:ind w:left="0"/>
              <w:jc w:val="center"/>
            </w:pPr>
            <w:r w:rsidRPr="004E2D2E">
              <w:t>13</w:t>
            </w:r>
          </w:p>
        </w:tc>
        <w:tc>
          <w:tcPr>
            <w:tcW w:w="6390" w:type="dxa"/>
            <w:vAlign w:val="center"/>
          </w:tcPr>
          <w:p w14:paraId="3909B14C" w14:textId="77777777" w:rsidR="00B05C5E" w:rsidRPr="00315CE0" w:rsidRDefault="004E2D2E" w:rsidP="604C6CA9">
            <w:pPr>
              <w:ind w:left="0"/>
              <w:rPr>
                <w:rFonts w:ascii="Calibri" w:eastAsia="Times New Roman" w:hAnsi="Calibri" w:cs="Calibri"/>
                <w:b/>
                <w:bCs/>
              </w:rPr>
            </w:pPr>
            <w:r w:rsidRPr="00315CE0">
              <w:rPr>
                <w:rFonts w:ascii="Calibri" w:eastAsia="Times New Roman" w:hAnsi="Calibri" w:cs="Calibri"/>
                <w:b/>
                <w:bCs/>
              </w:rPr>
              <w:t>Southwest Minnesota State University</w:t>
            </w:r>
            <w:r w:rsidR="00914FBA" w:rsidRPr="00315CE0">
              <w:rPr>
                <w:rFonts w:ascii="Calibri" w:eastAsia="Times New Roman" w:hAnsi="Calibri" w:cs="Calibri"/>
                <w:b/>
                <w:bCs/>
              </w:rPr>
              <w:t xml:space="preserve"> (reconsideration)</w:t>
            </w:r>
          </w:p>
          <w:p w14:paraId="2008439B" w14:textId="7DE1460F" w:rsidR="00591BD0" w:rsidRPr="004E2D2E" w:rsidRDefault="00591BD0" w:rsidP="604C6CA9">
            <w:pPr>
              <w:ind w:left="0"/>
              <w:rPr>
                <w:rFonts w:ascii="Calibri" w:eastAsia="Times New Roman" w:hAnsi="Calibri" w:cs="Calibri"/>
              </w:rPr>
            </w:pPr>
            <w:r>
              <w:t xml:space="preserve">Adequately prepared – </w:t>
            </w:r>
            <w:r w:rsidR="00C95242">
              <w:rPr>
                <w:bCs/>
              </w:rPr>
              <w:t xml:space="preserve">Moved and seconded to </w:t>
            </w:r>
            <w:r>
              <w:t>grant candidacy, still need some minor work on OAP</w:t>
            </w:r>
            <w:r w:rsidR="00475C92">
              <w:t xml:space="preserve"> – comments included in commissioner review form.</w:t>
            </w:r>
          </w:p>
        </w:tc>
        <w:tc>
          <w:tcPr>
            <w:tcW w:w="2533" w:type="dxa"/>
            <w:vAlign w:val="center"/>
          </w:tcPr>
          <w:p w14:paraId="78164BAD" w14:textId="4B4D7E51" w:rsidR="00B05C5E" w:rsidRPr="004E2D2E" w:rsidRDefault="00F8525F" w:rsidP="604C6CA9">
            <w:pPr>
              <w:ind w:left="0"/>
            </w:pPr>
            <w:r>
              <w:t>Candidacy expires April 30, 2025</w:t>
            </w:r>
          </w:p>
        </w:tc>
      </w:tr>
      <w:tr w:rsidR="003C13D0" w:rsidRPr="00EF4879" w14:paraId="093A46FF" w14:textId="77777777" w:rsidTr="604C6CA9">
        <w:trPr>
          <w:cantSplit/>
          <w:trHeight w:val="288"/>
          <w:jc w:val="center"/>
        </w:trPr>
        <w:tc>
          <w:tcPr>
            <w:tcW w:w="447" w:type="dxa"/>
            <w:tcMar>
              <w:left w:w="0" w:type="dxa"/>
              <w:right w:w="0" w:type="dxa"/>
            </w:tcMar>
            <w:vAlign w:val="center"/>
          </w:tcPr>
          <w:p w14:paraId="3D01B2C2" w14:textId="26807012" w:rsidR="003C13D0" w:rsidRPr="004E2D2E" w:rsidRDefault="604C6CA9" w:rsidP="604C6CA9">
            <w:pPr>
              <w:ind w:left="0"/>
              <w:jc w:val="center"/>
            </w:pPr>
            <w:r w:rsidRPr="004E2D2E">
              <w:t>14</w:t>
            </w:r>
          </w:p>
        </w:tc>
        <w:tc>
          <w:tcPr>
            <w:tcW w:w="6390" w:type="dxa"/>
            <w:vAlign w:val="center"/>
          </w:tcPr>
          <w:p w14:paraId="1BB94D3E" w14:textId="77777777" w:rsidR="003C13D0" w:rsidRPr="00315CE0" w:rsidRDefault="004E2D2E" w:rsidP="604C6CA9">
            <w:pPr>
              <w:ind w:left="0"/>
              <w:rPr>
                <w:rFonts w:ascii="Calibri" w:eastAsia="Times New Roman" w:hAnsi="Calibri" w:cs="Calibri"/>
                <w:b/>
                <w:bCs/>
              </w:rPr>
            </w:pPr>
            <w:r w:rsidRPr="00315CE0">
              <w:rPr>
                <w:rFonts w:ascii="Calibri" w:eastAsia="Times New Roman" w:hAnsi="Calibri" w:cs="Calibri"/>
                <w:b/>
                <w:bCs/>
              </w:rPr>
              <w:t>Southwest University at El Paso</w:t>
            </w:r>
          </w:p>
          <w:p w14:paraId="46C1EBCC" w14:textId="77777777" w:rsidR="00591BD0" w:rsidRDefault="00591BD0" w:rsidP="604C6CA9">
            <w:pPr>
              <w:ind w:left="0"/>
            </w:pPr>
            <w:r>
              <w:t xml:space="preserve">Tabled to June meeting – </w:t>
            </w:r>
            <w:r w:rsidR="00475C92">
              <w:t xml:space="preserve">requested that staff </w:t>
            </w:r>
            <w:r>
              <w:t>work with the</w:t>
            </w:r>
            <w:r w:rsidR="00475C92">
              <w:t xml:space="preserve"> university to revise the OAP</w:t>
            </w:r>
            <w:r w:rsidR="00C95242">
              <w:t>.</w:t>
            </w:r>
          </w:p>
          <w:p w14:paraId="0533A2FB" w14:textId="187FC329" w:rsidR="00C95242" w:rsidRPr="004E2D2E" w:rsidRDefault="00C95242" w:rsidP="604C6CA9">
            <w:pPr>
              <w:ind w:left="0"/>
              <w:rPr>
                <w:rFonts w:ascii="Calibri" w:eastAsia="Times New Roman" w:hAnsi="Calibri" w:cs="Calibri"/>
              </w:rPr>
            </w:pPr>
            <w:r>
              <w:rPr>
                <w:bCs/>
              </w:rPr>
              <w:t>Motion passed.</w:t>
            </w:r>
          </w:p>
        </w:tc>
        <w:tc>
          <w:tcPr>
            <w:tcW w:w="2533" w:type="dxa"/>
            <w:vAlign w:val="center"/>
          </w:tcPr>
          <w:p w14:paraId="29003D3E" w14:textId="6979EC84" w:rsidR="003C13D0" w:rsidRPr="004E2D2E" w:rsidRDefault="00F8525F" w:rsidP="604C6CA9">
            <w:pPr>
              <w:ind w:left="0"/>
            </w:pPr>
            <w:r>
              <w:t>Tabled</w:t>
            </w:r>
          </w:p>
        </w:tc>
      </w:tr>
      <w:tr w:rsidR="004E2D2E" w:rsidRPr="00EF4879" w14:paraId="5A737003" w14:textId="77777777" w:rsidTr="604C6CA9">
        <w:trPr>
          <w:cantSplit/>
          <w:trHeight w:val="288"/>
          <w:jc w:val="center"/>
        </w:trPr>
        <w:tc>
          <w:tcPr>
            <w:tcW w:w="447" w:type="dxa"/>
            <w:tcMar>
              <w:left w:w="0" w:type="dxa"/>
              <w:right w:w="0" w:type="dxa"/>
            </w:tcMar>
            <w:vAlign w:val="center"/>
          </w:tcPr>
          <w:p w14:paraId="35B13768" w14:textId="4FA84B68" w:rsidR="004E2D2E" w:rsidRPr="004E2D2E" w:rsidRDefault="008970B4" w:rsidP="604C6CA9">
            <w:pPr>
              <w:ind w:left="0"/>
              <w:jc w:val="center"/>
            </w:pPr>
            <w:r>
              <w:t>15</w:t>
            </w:r>
          </w:p>
        </w:tc>
        <w:tc>
          <w:tcPr>
            <w:tcW w:w="6390" w:type="dxa"/>
            <w:vAlign w:val="center"/>
          </w:tcPr>
          <w:p w14:paraId="171C27A8" w14:textId="77777777" w:rsidR="004E2D2E" w:rsidRPr="00315CE0" w:rsidRDefault="004E2D2E" w:rsidP="604C6CA9">
            <w:pPr>
              <w:ind w:left="0"/>
              <w:rPr>
                <w:rFonts w:ascii="Calibri" w:eastAsia="Times New Roman" w:hAnsi="Calibri" w:cs="Calibri"/>
                <w:b/>
                <w:bCs/>
              </w:rPr>
            </w:pPr>
            <w:r w:rsidRPr="00315CE0">
              <w:rPr>
                <w:rFonts w:ascii="Calibri" w:eastAsia="Times New Roman" w:hAnsi="Calibri" w:cs="Calibri"/>
                <w:b/>
                <w:bCs/>
              </w:rPr>
              <w:t xml:space="preserve">Valley City </w:t>
            </w:r>
            <w:r w:rsidR="00581AFE" w:rsidRPr="00315CE0">
              <w:rPr>
                <w:rFonts w:ascii="Calibri" w:eastAsia="Times New Roman" w:hAnsi="Calibri" w:cs="Calibri"/>
                <w:b/>
                <w:bCs/>
              </w:rPr>
              <w:t xml:space="preserve">State </w:t>
            </w:r>
            <w:r w:rsidRPr="00315CE0">
              <w:rPr>
                <w:rFonts w:ascii="Calibri" w:eastAsia="Times New Roman" w:hAnsi="Calibri" w:cs="Calibri"/>
                <w:b/>
                <w:bCs/>
              </w:rPr>
              <w:t>University</w:t>
            </w:r>
          </w:p>
          <w:p w14:paraId="0D9A8798" w14:textId="77777777" w:rsidR="00591BD0" w:rsidRDefault="00591BD0" w:rsidP="604C6CA9">
            <w:pPr>
              <w:ind w:left="0"/>
            </w:pPr>
            <w:r>
              <w:t xml:space="preserve">Adequately prepared – </w:t>
            </w:r>
            <w:r w:rsidR="00C95242">
              <w:rPr>
                <w:bCs/>
              </w:rPr>
              <w:t xml:space="preserve">Moved and seconded to </w:t>
            </w:r>
            <w:r>
              <w:t>grant candidacy</w:t>
            </w:r>
            <w:r w:rsidR="00C95242">
              <w:t>.</w:t>
            </w:r>
          </w:p>
          <w:p w14:paraId="6AA76DD7" w14:textId="7C508A30" w:rsidR="00C95242" w:rsidRPr="004E2D2E" w:rsidRDefault="00C95242" w:rsidP="604C6CA9">
            <w:pPr>
              <w:ind w:left="0"/>
              <w:rPr>
                <w:rFonts w:ascii="Calibri" w:eastAsia="Times New Roman" w:hAnsi="Calibri" w:cs="Calibri"/>
              </w:rPr>
            </w:pPr>
            <w:r>
              <w:rPr>
                <w:bCs/>
              </w:rPr>
              <w:t>Motion passed.</w:t>
            </w:r>
          </w:p>
        </w:tc>
        <w:tc>
          <w:tcPr>
            <w:tcW w:w="2533" w:type="dxa"/>
            <w:vAlign w:val="center"/>
          </w:tcPr>
          <w:p w14:paraId="342DC1E0" w14:textId="7F85C5A8" w:rsidR="004E2D2E" w:rsidRPr="004E2D2E" w:rsidRDefault="00F8525F" w:rsidP="604C6CA9">
            <w:pPr>
              <w:ind w:left="0"/>
            </w:pPr>
            <w:r>
              <w:t>Candidacy expires April 30, 2025</w:t>
            </w:r>
          </w:p>
        </w:tc>
      </w:tr>
      <w:tr w:rsidR="00B05C5E" w:rsidRPr="00EF4879" w14:paraId="0DA8A105" w14:textId="77777777" w:rsidTr="604C6CA9">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4BCAF40E" w14:textId="6C392C7E" w:rsidR="00B05C5E" w:rsidRPr="0046677C" w:rsidRDefault="004B181E" w:rsidP="00B05C5E">
            <w:pPr>
              <w:ind w:left="0"/>
              <w:jc w:val="center"/>
              <w:rPr>
                <w:b/>
                <w:bCs/>
              </w:rPr>
            </w:pPr>
            <w:r>
              <w:rPr>
                <w:b/>
                <w:bCs/>
              </w:rPr>
              <w:t>G</w:t>
            </w:r>
          </w:p>
        </w:tc>
        <w:tc>
          <w:tcPr>
            <w:tcW w:w="8923" w:type="dxa"/>
            <w:gridSpan w:val="2"/>
            <w:shd w:val="clear" w:color="auto" w:fill="DBE5F1" w:themeFill="accent1" w:themeFillTint="33"/>
            <w:tcMar>
              <w:top w:w="0" w:type="dxa"/>
              <w:bottom w:w="0" w:type="dxa"/>
            </w:tcMar>
            <w:vAlign w:val="center"/>
          </w:tcPr>
          <w:p w14:paraId="4401A1CA" w14:textId="77777777" w:rsidR="00B05C5E" w:rsidRPr="00EF4879" w:rsidRDefault="00B05C5E" w:rsidP="00B05C5E">
            <w:pPr>
              <w:ind w:left="0"/>
              <w:jc w:val="center"/>
              <w:rPr>
                <w:b/>
                <w:bCs/>
              </w:rPr>
            </w:pPr>
            <w:r w:rsidRPr="3F2FABD2">
              <w:rPr>
                <w:b/>
                <w:bCs/>
              </w:rPr>
              <w:t>NEW PROGRAM REVIEWS</w:t>
            </w:r>
          </w:p>
        </w:tc>
      </w:tr>
      <w:tr w:rsidR="00B05C5E" w:rsidRPr="00EF4879" w14:paraId="41AC9FD9" w14:textId="77777777" w:rsidTr="604C6CA9">
        <w:trPr>
          <w:cantSplit/>
          <w:trHeight w:val="288"/>
          <w:jc w:val="center"/>
        </w:trPr>
        <w:tc>
          <w:tcPr>
            <w:tcW w:w="447" w:type="dxa"/>
            <w:tcMar>
              <w:left w:w="0" w:type="dxa"/>
              <w:right w:w="0" w:type="dxa"/>
            </w:tcMar>
            <w:vAlign w:val="center"/>
          </w:tcPr>
          <w:p w14:paraId="1936001B" w14:textId="793BFA60" w:rsidR="00B05C5E" w:rsidRPr="004E2D2E" w:rsidRDefault="008970B4" w:rsidP="604C6CA9">
            <w:pPr>
              <w:ind w:left="0"/>
              <w:jc w:val="center"/>
            </w:pPr>
            <w:r>
              <w:t>16</w:t>
            </w:r>
          </w:p>
        </w:tc>
        <w:tc>
          <w:tcPr>
            <w:tcW w:w="6390" w:type="dxa"/>
            <w:vAlign w:val="center"/>
          </w:tcPr>
          <w:p w14:paraId="4D45ED03" w14:textId="057B20AA" w:rsidR="00B05C5E" w:rsidRPr="00315CE0" w:rsidRDefault="004E2D2E" w:rsidP="604C6CA9">
            <w:pPr>
              <w:ind w:left="0"/>
              <w:rPr>
                <w:b/>
                <w:bCs/>
              </w:rPr>
            </w:pPr>
            <w:r w:rsidRPr="00315CE0">
              <w:rPr>
                <w:b/>
                <w:bCs/>
              </w:rPr>
              <w:t xml:space="preserve">Ashford University </w:t>
            </w:r>
            <w:r w:rsidR="00591BD0" w:rsidRPr="00315CE0">
              <w:rPr>
                <w:b/>
                <w:bCs/>
              </w:rPr>
              <w:t>–</w:t>
            </w:r>
            <w:r w:rsidRPr="00315CE0">
              <w:rPr>
                <w:b/>
                <w:bCs/>
              </w:rPr>
              <w:t xml:space="preserve"> MHR</w:t>
            </w:r>
            <w:r w:rsidR="00DC5177" w:rsidRPr="00315CE0">
              <w:rPr>
                <w:b/>
                <w:bCs/>
              </w:rPr>
              <w:t>M</w:t>
            </w:r>
          </w:p>
          <w:p w14:paraId="25A88167" w14:textId="68BC85A1" w:rsidR="00591BD0" w:rsidRDefault="00C95242" w:rsidP="604C6CA9">
            <w:pPr>
              <w:ind w:left="0"/>
            </w:pPr>
            <w:r>
              <w:rPr>
                <w:bCs/>
              </w:rPr>
              <w:t xml:space="preserve">Moved and seconded to </w:t>
            </w:r>
            <w:r>
              <w:t>a</w:t>
            </w:r>
            <w:r w:rsidR="00591BD0">
              <w:t>ccredit MHRM</w:t>
            </w:r>
            <w:r w:rsidR="007A74E7">
              <w:t xml:space="preserve"> with no notes and no observations</w:t>
            </w:r>
            <w:r>
              <w:t>.</w:t>
            </w:r>
          </w:p>
          <w:p w14:paraId="47AEC3A1" w14:textId="4C792249" w:rsidR="00C95242" w:rsidRPr="004E2D2E" w:rsidRDefault="00C95242" w:rsidP="604C6CA9">
            <w:pPr>
              <w:ind w:left="0"/>
            </w:pPr>
            <w:r>
              <w:rPr>
                <w:bCs/>
              </w:rPr>
              <w:t>Motion passed.</w:t>
            </w:r>
          </w:p>
        </w:tc>
        <w:tc>
          <w:tcPr>
            <w:tcW w:w="2533" w:type="dxa"/>
            <w:vAlign w:val="center"/>
          </w:tcPr>
          <w:p w14:paraId="1693DDB1" w14:textId="151FC948" w:rsidR="00B05C5E" w:rsidRPr="004E2D2E" w:rsidRDefault="00475C92" w:rsidP="604C6CA9">
            <w:pPr>
              <w:ind w:left="0"/>
            </w:pPr>
            <w:r>
              <w:t>Accreditation of new program expires with the current accreditation</w:t>
            </w:r>
          </w:p>
        </w:tc>
      </w:tr>
      <w:tr w:rsidR="004E2D2E" w:rsidRPr="00EF4879" w14:paraId="7DEE7FCC" w14:textId="77777777" w:rsidTr="604C6CA9">
        <w:trPr>
          <w:cantSplit/>
          <w:trHeight w:val="288"/>
          <w:jc w:val="center"/>
        </w:trPr>
        <w:tc>
          <w:tcPr>
            <w:tcW w:w="447" w:type="dxa"/>
            <w:tcMar>
              <w:left w:w="0" w:type="dxa"/>
              <w:right w:w="0" w:type="dxa"/>
            </w:tcMar>
            <w:vAlign w:val="center"/>
          </w:tcPr>
          <w:p w14:paraId="0A1FF063" w14:textId="7F953215" w:rsidR="004E2D2E" w:rsidRPr="004E2D2E" w:rsidRDefault="008970B4" w:rsidP="604C6CA9">
            <w:pPr>
              <w:ind w:left="0"/>
              <w:jc w:val="center"/>
            </w:pPr>
            <w:r>
              <w:t>17</w:t>
            </w:r>
          </w:p>
        </w:tc>
        <w:tc>
          <w:tcPr>
            <w:tcW w:w="6390" w:type="dxa"/>
            <w:vAlign w:val="center"/>
          </w:tcPr>
          <w:p w14:paraId="0B2023A3" w14:textId="0C068388" w:rsidR="004E2D2E" w:rsidRPr="00315CE0" w:rsidRDefault="004E2D2E" w:rsidP="604C6CA9">
            <w:pPr>
              <w:ind w:left="0"/>
              <w:rPr>
                <w:b/>
                <w:bCs/>
              </w:rPr>
            </w:pPr>
            <w:r w:rsidRPr="00315CE0">
              <w:rPr>
                <w:b/>
                <w:bCs/>
              </w:rPr>
              <w:t xml:space="preserve">Kardan University </w:t>
            </w:r>
            <w:r w:rsidR="00591BD0" w:rsidRPr="00315CE0">
              <w:rPr>
                <w:b/>
                <w:bCs/>
              </w:rPr>
              <w:t>–</w:t>
            </w:r>
            <w:r w:rsidRPr="00315CE0">
              <w:rPr>
                <w:b/>
                <w:bCs/>
              </w:rPr>
              <w:t xml:space="preserve"> MBA</w:t>
            </w:r>
          </w:p>
          <w:p w14:paraId="674CFE36" w14:textId="3E77A689" w:rsidR="00591BD0" w:rsidRDefault="00C95242" w:rsidP="604C6CA9">
            <w:pPr>
              <w:ind w:left="0"/>
            </w:pPr>
            <w:r>
              <w:rPr>
                <w:bCs/>
              </w:rPr>
              <w:t xml:space="preserve">Moved and seconded to </w:t>
            </w:r>
            <w:r>
              <w:t>a</w:t>
            </w:r>
            <w:r w:rsidR="00591BD0">
              <w:t>ccredit MBA</w:t>
            </w:r>
            <w:r w:rsidR="007A74E7">
              <w:t xml:space="preserve"> with no notes and no observations.</w:t>
            </w:r>
          </w:p>
          <w:p w14:paraId="0655BD6A" w14:textId="0FC15C40" w:rsidR="00C95242" w:rsidRPr="004E2D2E" w:rsidRDefault="00C95242" w:rsidP="604C6CA9">
            <w:pPr>
              <w:ind w:left="0"/>
            </w:pPr>
            <w:r>
              <w:rPr>
                <w:bCs/>
              </w:rPr>
              <w:t>Motion passed.</w:t>
            </w:r>
          </w:p>
        </w:tc>
        <w:tc>
          <w:tcPr>
            <w:tcW w:w="2533" w:type="dxa"/>
            <w:vAlign w:val="center"/>
          </w:tcPr>
          <w:p w14:paraId="22504EDF" w14:textId="1613E91A" w:rsidR="004E2D2E" w:rsidRPr="004E2D2E" w:rsidRDefault="00475C92" w:rsidP="604C6CA9">
            <w:pPr>
              <w:ind w:left="0"/>
            </w:pPr>
            <w:r>
              <w:t>Accreditation of new program expires with the current accreditation</w:t>
            </w:r>
          </w:p>
        </w:tc>
      </w:tr>
      <w:tr w:rsidR="004E2D2E" w:rsidRPr="00EF4879" w14:paraId="169790F5" w14:textId="77777777" w:rsidTr="604C6CA9">
        <w:trPr>
          <w:cantSplit/>
          <w:trHeight w:val="288"/>
          <w:jc w:val="center"/>
        </w:trPr>
        <w:tc>
          <w:tcPr>
            <w:tcW w:w="447" w:type="dxa"/>
            <w:tcMar>
              <w:left w:w="0" w:type="dxa"/>
              <w:right w:w="0" w:type="dxa"/>
            </w:tcMar>
            <w:vAlign w:val="center"/>
          </w:tcPr>
          <w:p w14:paraId="3E25265C" w14:textId="747F9CBE" w:rsidR="004E2D2E" w:rsidRPr="004E2D2E" w:rsidRDefault="008970B4" w:rsidP="604C6CA9">
            <w:pPr>
              <w:ind w:left="0"/>
              <w:jc w:val="center"/>
            </w:pPr>
            <w:r>
              <w:t>18</w:t>
            </w:r>
          </w:p>
        </w:tc>
        <w:tc>
          <w:tcPr>
            <w:tcW w:w="6390" w:type="dxa"/>
            <w:vAlign w:val="center"/>
          </w:tcPr>
          <w:p w14:paraId="1680DF73" w14:textId="4B3B7499" w:rsidR="004E2D2E" w:rsidRPr="007A74E7" w:rsidRDefault="004E2D2E" w:rsidP="604C6CA9">
            <w:pPr>
              <w:ind w:left="0"/>
            </w:pPr>
            <w:r w:rsidRPr="00315CE0">
              <w:rPr>
                <w:b/>
                <w:bCs/>
              </w:rPr>
              <w:t xml:space="preserve">Palm Beach Atlantic University </w:t>
            </w:r>
            <w:r w:rsidR="00591BD0" w:rsidRPr="00315CE0">
              <w:rPr>
                <w:b/>
                <w:bCs/>
              </w:rPr>
              <w:t>–</w:t>
            </w:r>
            <w:r w:rsidRPr="00315CE0">
              <w:rPr>
                <w:b/>
                <w:bCs/>
              </w:rPr>
              <w:t xml:space="preserve"> MACC</w:t>
            </w:r>
            <w:r w:rsidR="007A74E7">
              <w:t xml:space="preserve"> with no notes and no observations.</w:t>
            </w:r>
          </w:p>
          <w:p w14:paraId="1A9E8B63" w14:textId="2FFD542A" w:rsidR="00591BD0" w:rsidRDefault="00C95242" w:rsidP="604C6CA9">
            <w:pPr>
              <w:ind w:left="0"/>
            </w:pPr>
            <w:r>
              <w:rPr>
                <w:bCs/>
              </w:rPr>
              <w:t xml:space="preserve">Moved and seconded to </w:t>
            </w:r>
            <w:r>
              <w:t>a</w:t>
            </w:r>
            <w:r w:rsidR="00591BD0">
              <w:t>ccredit MACC</w:t>
            </w:r>
            <w:r>
              <w:t>.</w:t>
            </w:r>
          </w:p>
          <w:p w14:paraId="323D5FCE" w14:textId="4F560E82" w:rsidR="00C95242" w:rsidRPr="004E2D2E" w:rsidRDefault="00C95242" w:rsidP="604C6CA9">
            <w:pPr>
              <w:ind w:left="0"/>
            </w:pPr>
            <w:r>
              <w:rPr>
                <w:bCs/>
              </w:rPr>
              <w:t>Motion passed.</w:t>
            </w:r>
          </w:p>
        </w:tc>
        <w:tc>
          <w:tcPr>
            <w:tcW w:w="2533" w:type="dxa"/>
            <w:vAlign w:val="center"/>
          </w:tcPr>
          <w:p w14:paraId="77912724" w14:textId="463D7A9B" w:rsidR="004E2D2E" w:rsidRPr="004E2D2E" w:rsidRDefault="00475C92" w:rsidP="604C6CA9">
            <w:pPr>
              <w:ind w:left="0"/>
            </w:pPr>
            <w:r>
              <w:t>Accreditation of new program expires with the current accreditation</w:t>
            </w:r>
          </w:p>
        </w:tc>
      </w:tr>
      <w:tr w:rsidR="00B05C5E" w:rsidRPr="00EF4879" w14:paraId="0265D02A" w14:textId="77777777" w:rsidTr="604C6CA9">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167D2BCA" w14:textId="32A3BC1E" w:rsidR="00B05C5E" w:rsidRPr="00EF4879" w:rsidRDefault="004B181E" w:rsidP="00B05C5E">
            <w:pPr>
              <w:ind w:left="0"/>
              <w:jc w:val="center"/>
              <w:rPr>
                <w:b/>
                <w:bCs/>
              </w:rPr>
            </w:pPr>
            <w:r>
              <w:rPr>
                <w:b/>
                <w:bCs/>
              </w:rPr>
              <w:t>H</w:t>
            </w:r>
          </w:p>
        </w:tc>
        <w:tc>
          <w:tcPr>
            <w:tcW w:w="8923" w:type="dxa"/>
            <w:gridSpan w:val="2"/>
            <w:shd w:val="clear" w:color="auto" w:fill="DBE5F1" w:themeFill="accent1" w:themeFillTint="33"/>
            <w:tcMar>
              <w:top w:w="0" w:type="dxa"/>
              <w:bottom w:w="0" w:type="dxa"/>
            </w:tcMar>
            <w:vAlign w:val="center"/>
          </w:tcPr>
          <w:p w14:paraId="5B05A3B2" w14:textId="0CE8D1F7" w:rsidR="00B05C5E" w:rsidRPr="009F7B6C" w:rsidRDefault="604C6CA9" w:rsidP="009F7B6C">
            <w:pPr>
              <w:ind w:left="0"/>
              <w:jc w:val="center"/>
              <w:rPr>
                <w:b/>
                <w:bCs/>
              </w:rPr>
            </w:pPr>
            <w:r w:rsidRPr="009F7B6C">
              <w:rPr>
                <w:b/>
                <w:bCs/>
              </w:rPr>
              <w:t>PREVIOUSLY DEFERRED ACTIONS</w:t>
            </w:r>
          </w:p>
        </w:tc>
      </w:tr>
      <w:tr w:rsidR="00B05C5E" w:rsidRPr="00EF4879" w14:paraId="0D6D7A4B" w14:textId="77777777" w:rsidTr="604C6CA9">
        <w:trPr>
          <w:cantSplit/>
          <w:trHeight w:val="288"/>
          <w:jc w:val="center"/>
        </w:trPr>
        <w:tc>
          <w:tcPr>
            <w:tcW w:w="447" w:type="dxa"/>
            <w:tcMar>
              <w:left w:w="0" w:type="dxa"/>
              <w:right w:w="0" w:type="dxa"/>
            </w:tcMar>
            <w:vAlign w:val="center"/>
          </w:tcPr>
          <w:p w14:paraId="50075F8D" w14:textId="31AA52BD" w:rsidR="00B05C5E" w:rsidRPr="0067387F" w:rsidRDefault="008970B4" w:rsidP="00B05C5E">
            <w:pPr>
              <w:ind w:left="0"/>
              <w:jc w:val="center"/>
            </w:pPr>
            <w:r>
              <w:t>19</w:t>
            </w:r>
          </w:p>
        </w:tc>
        <w:tc>
          <w:tcPr>
            <w:tcW w:w="6390" w:type="dxa"/>
            <w:vAlign w:val="center"/>
          </w:tcPr>
          <w:p w14:paraId="7BDD7BE7" w14:textId="12E5F9B5" w:rsidR="00B05C5E" w:rsidRPr="00315CE0" w:rsidRDefault="00C116DF" w:rsidP="00B05C5E">
            <w:pPr>
              <w:ind w:left="0"/>
              <w:rPr>
                <w:b/>
                <w:bCs/>
              </w:rPr>
            </w:pPr>
            <w:r w:rsidRPr="00315CE0">
              <w:rPr>
                <w:b/>
                <w:bCs/>
              </w:rPr>
              <w:t>Swiss School of Management</w:t>
            </w:r>
            <w:r w:rsidR="004E2D2E" w:rsidRPr="00315CE0">
              <w:rPr>
                <w:b/>
                <w:bCs/>
              </w:rPr>
              <w:t xml:space="preserve"> </w:t>
            </w:r>
            <w:r w:rsidR="00591BD0" w:rsidRPr="00315CE0">
              <w:rPr>
                <w:b/>
                <w:bCs/>
              </w:rPr>
              <w:t>–</w:t>
            </w:r>
            <w:r w:rsidR="004E2D2E" w:rsidRPr="00315CE0">
              <w:rPr>
                <w:b/>
                <w:bCs/>
              </w:rPr>
              <w:t xml:space="preserve"> reaffirmation</w:t>
            </w:r>
          </w:p>
          <w:p w14:paraId="7A7ACED6" w14:textId="282364A1" w:rsidR="00591BD0" w:rsidRDefault="00C95242" w:rsidP="00B05C5E">
            <w:pPr>
              <w:ind w:left="0"/>
            </w:pPr>
            <w:r>
              <w:rPr>
                <w:bCs/>
              </w:rPr>
              <w:t xml:space="preserve">Moved and seconded to </w:t>
            </w:r>
            <w:r>
              <w:t>a</w:t>
            </w:r>
            <w:r w:rsidR="00591BD0">
              <w:t>ccredit with notes on background and Principle 1.1</w:t>
            </w:r>
            <w:r w:rsidR="00475C92">
              <w:t>, no observations.</w:t>
            </w:r>
          </w:p>
          <w:p w14:paraId="45E98F4C" w14:textId="545DED0A" w:rsidR="00C95242" w:rsidRDefault="00C95242" w:rsidP="00B05C5E">
            <w:pPr>
              <w:ind w:left="0"/>
              <w:rPr>
                <w:bCs/>
              </w:rPr>
            </w:pPr>
            <w:r>
              <w:rPr>
                <w:bCs/>
              </w:rPr>
              <w:t>Motion passed.</w:t>
            </w:r>
          </w:p>
        </w:tc>
        <w:tc>
          <w:tcPr>
            <w:tcW w:w="2533" w:type="dxa"/>
            <w:vAlign w:val="center"/>
          </w:tcPr>
          <w:p w14:paraId="4EB8D356" w14:textId="77777777" w:rsidR="00475C92" w:rsidRDefault="00475C92" w:rsidP="00475C92">
            <w:pPr>
              <w:ind w:left="0"/>
            </w:pPr>
            <w:r>
              <w:t>Accr. expires 4-30-27</w:t>
            </w:r>
          </w:p>
          <w:p w14:paraId="2C2B1FBE" w14:textId="2390728B" w:rsidR="00B05C5E" w:rsidRDefault="00475C92" w:rsidP="00475C92">
            <w:pPr>
              <w:ind w:left="0"/>
            </w:pPr>
            <w:r>
              <w:t>IQAR due 11-1-24</w:t>
            </w:r>
          </w:p>
        </w:tc>
      </w:tr>
      <w:tr w:rsidR="008A5308" w:rsidRPr="00EF4879" w14:paraId="20EF4413" w14:textId="77777777" w:rsidTr="604C6CA9">
        <w:trPr>
          <w:cantSplit/>
          <w:trHeight w:val="288"/>
          <w:jc w:val="center"/>
        </w:trPr>
        <w:tc>
          <w:tcPr>
            <w:tcW w:w="447" w:type="dxa"/>
            <w:tcMar>
              <w:left w:w="0" w:type="dxa"/>
              <w:right w:w="0" w:type="dxa"/>
            </w:tcMar>
            <w:vAlign w:val="center"/>
          </w:tcPr>
          <w:p w14:paraId="64C34D4F" w14:textId="7E82D975" w:rsidR="008A5308" w:rsidRDefault="008970B4" w:rsidP="00B05C5E">
            <w:pPr>
              <w:ind w:left="0"/>
              <w:jc w:val="center"/>
            </w:pPr>
            <w:r>
              <w:lastRenderedPageBreak/>
              <w:t>20</w:t>
            </w:r>
          </w:p>
        </w:tc>
        <w:tc>
          <w:tcPr>
            <w:tcW w:w="6390" w:type="dxa"/>
            <w:vAlign w:val="center"/>
          </w:tcPr>
          <w:p w14:paraId="313D1C40" w14:textId="77777777" w:rsidR="008A5308" w:rsidRPr="00315CE0" w:rsidRDefault="008A5308" w:rsidP="00B05C5E">
            <w:pPr>
              <w:ind w:left="0"/>
              <w:rPr>
                <w:b/>
                <w:bCs/>
              </w:rPr>
            </w:pPr>
            <w:r w:rsidRPr="00315CE0">
              <w:rPr>
                <w:b/>
                <w:bCs/>
              </w:rPr>
              <w:t xml:space="preserve">Greenville </w:t>
            </w:r>
            <w:r w:rsidR="008970B4" w:rsidRPr="00315CE0">
              <w:rPr>
                <w:b/>
                <w:bCs/>
              </w:rPr>
              <w:t>University</w:t>
            </w:r>
            <w:r w:rsidR="004E2D2E" w:rsidRPr="00315CE0">
              <w:rPr>
                <w:b/>
                <w:bCs/>
              </w:rPr>
              <w:t xml:space="preserve"> – first-time accreditation</w:t>
            </w:r>
          </w:p>
          <w:p w14:paraId="36968EA3" w14:textId="317909C6" w:rsidR="00591BD0" w:rsidRDefault="00C95242" w:rsidP="00B05C5E">
            <w:pPr>
              <w:ind w:left="0"/>
            </w:pPr>
            <w:r>
              <w:rPr>
                <w:bCs/>
              </w:rPr>
              <w:t xml:space="preserve">Moved and seconded to </w:t>
            </w:r>
            <w:r>
              <w:t>a</w:t>
            </w:r>
            <w:r w:rsidR="00591BD0">
              <w:t>ccredit with note on Principle 1.1 to provide one complete set of OA data (used old principles)</w:t>
            </w:r>
            <w:r w:rsidR="00475C92">
              <w:t>. If results are available for 2019-20 – provide results by November 1, 2020, other wise provide results by November 1, 2021.</w:t>
            </w:r>
          </w:p>
          <w:p w14:paraId="3379AC63" w14:textId="48EAE4EC" w:rsidR="00C95242" w:rsidRDefault="00C95242" w:rsidP="00B05C5E">
            <w:pPr>
              <w:ind w:left="0"/>
            </w:pPr>
            <w:r>
              <w:rPr>
                <w:bCs/>
              </w:rPr>
              <w:t>Motion passed.</w:t>
            </w:r>
          </w:p>
        </w:tc>
        <w:tc>
          <w:tcPr>
            <w:tcW w:w="2533" w:type="dxa"/>
            <w:vAlign w:val="center"/>
          </w:tcPr>
          <w:p w14:paraId="13D77743" w14:textId="77777777" w:rsidR="00475C92" w:rsidRDefault="00475C92" w:rsidP="00475C92">
            <w:pPr>
              <w:ind w:left="0"/>
            </w:pPr>
            <w:r>
              <w:t>Accr. expires 4-30-27</w:t>
            </w:r>
          </w:p>
          <w:p w14:paraId="5DD71FE4" w14:textId="4C070F4B" w:rsidR="008A5308" w:rsidRDefault="00475C92" w:rsidP="00475C92">
            <w:pPr>
              <w:ind w:left="0"/>
            </w:pPr>
            <w:r>
              <w:t>IQAR due 11-1-24</w:t>
            </w:r>
          </w:p>
        </w:tc>
      </w:tr>
      <w:tr w:rsidR="00B05C5E" w:rsidRPr="00EF4879" w14:paraId="5065171D" w14:textId="77777777" w:rsidTr="604C6CA9">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054D3192" w14:textId="6C2E54D6" w:rsidR="00B05C5E" w:rsidRPr="00EF4879" w:rsidRDefault="004B181E" w:rsidP="00B05C5E">
            <w:pPr>
              <w:ind w:left="0"/>
              <w:jc w:val="center"/>
              <w:rPr>
                <w:b/>
                <w:bCs/>
              </w:rPr>
            </w:pPr>
            <w:r>
              <w:rPr>
                <w:b/>
                <w:bCs/>
              </w:rPr>
              <w:t>I</w:t>
            </w:r>
          </w:p>
        </w:tc>
        <w:tc>
          <w:tcPr>
            <w:tcW w:w="8923" w:type="dxa"/>
            <w:gridSpan w:val="2"/>
            <w:shd w:val="clear" w:color="auto" w:fill="DBE5F1" w:themeFill="accent1" w:themeFillTint="33"/>
            <w:tcMar>
              <w:top w:w="0" w:type="dxa"/>
              <w:bottom w:w="0" w:type="dxa"/>
            </w:tcMar>
            <w:vAlign w:val="center"/>
          </w:tcPr>
          <w:p w14:paraId="7D736E8D" w14:textId="1A622F28" w:rsidR="00B05C5E" w:rsidRPr="00EF4879" w:rsidRDefault="00B05C5E" w:rsidP="00B05C5E">
            <w:pPr>
              <w:ind w:left="0"/>
              <w:jc w:val="center"/>
              <w:rPr>
                <w:b/>
                <w:bCs/>
              </w:rPr>
            </w:pPr>
            <w:r w:rsidRPr="3F2FABD2">
              <w:rPr>
                <w:b/>
                <w:bCs/>
              </w:rPr>
              <w:t>OTHER ACCREDITATION ACTIONS</w:t>
            </w:r>
          </w:p>
        </w:tc>
      </w:tr>
      <w:tr w:rsidR="00B05C5E" w:rsidRPr="00EF4879" w14:paraId="6221837D" w14:textId="77777777" w:rsidTr="604C6CA9">
        <w:trPr>
          <w:cantSplit/>
          <w:trHeight w:val="288"/>
          <w:jc w:val="center"/>
        </w:trPr>
        <w:tc>
          <w:tcPr>
            <w:tcW w:w="447" w:type="dxa"/>
            <w:tcMar>
              <w:left w:w="0" w:type="dxa"/>
              <w:right w:w="0" w:type="dxa"/>
            </w:tcMar>
            <w:vAlign w:val="center"/>
          </w:tcPr>
          <w:p w14:paraId="5134A6D9" w14:textId="22BEC545" w:rsidR="00B05C5E" w:rsidRDefault="004563A9" w:rsidP="00B05C5E">
            <w:pPr>
              <w:ind w:left="0"/>
              <w:jc w:val="center"/>
            </w:pPr>
            <w:r>
              <w:t>21</w:t>
            </w:r>
          </w:p>
        </w:tc>
        <w:tc>
          <w:tcPr>
            <w:tcW w:w="6390" w:type="dxa"/>
            <w:vAlign w:val="center"/>
          </w:tcPr>
          <w:p w14:paraId="29EB82F7" w14:textId="21114DC3" w:rsidR="00B05C5E" w:rsidRPr="00315CE0" w:rsidRDefault="003D1C2D" w:rsidP="00B05C5E">
            <w:pPr>
              <w:ind w:left="0"/>
              <w:rPr>
                <w:b/>
              </w:rPr>
            </w:pPr>
            <w:r w:rsidRPr="00315CE0">
              <w:rPr>
                <w:b/>
              </w:rPr>
              <w:t xml:space="preserve">Bakhtar request for accreditation of CS programs – do they meet our requirement for 30% business or business-related </w:t>
            </w:r>
            <w:r w:rsidR="00475C92" w:rsidRPr="00315CE0">
              <w:rPr>
                <w:b/>
              </w:rPr>
              <w:t>credit-hours/</w:t>
            </w:r>
            <w:r w:rsidRPr="00315CE0">
              <w:rPr>
                <w:b/>
              </w:rPr>
              <w:t>courses</w:t>
            </w:r>
            <w:r w:rsidR="00E113EB" w:rsidRPr="00315CE0">
              <w:rPr>
                <w:b/>
              </w:rPr>
              <w:t xml:space="preserve"> (</w:t>
            </w:r>
            <w:r w:rsidR="00475C92" w:rsidRPr="00315CE0">
              <w:rPr>
                <w:b/>
              </w:rPr>
              <w:t>50% for graduate programs)</w:t>
            </w:r>
            <w:r w:rsidRPr="00315CE0">
              <w:rPr>
                <w:b/>
              </w:rPr>
              <w:t>?</w:t>
            </w:r>
          </w:p>
          <w:p w14:paraId="6BF1C193" w14:textId="566EE803" w:rsidR="00591BD0" w:rsidRPr="001D6665" w:rsidRDefault="00E113EB" w:rsidP="00B05C5E">
            <w:pPr>
              <w:ind w:left="0"/>
              <w:rPr>
                <w:bCs/>
              </w:rPr>
            </w:pPr>
            <w:r>
              <w:t xml:space="preserve">BOC Finding:  </w:t>
            </w:r>
            <w:r w:rsidR="00591BD0">
              <w:t>CS program do not contain sufficient levels of business courses to meet the criteria for IACBE accreditation</w:t>
            </w:r>
            <w:r>
              <w:t xml:space="preserve">. If Bakhtar would like to bring the programs forward for accreditation they will need to ensure that the </w:t>
            </w:r>
            <w:r w:rsidR="00475C92">
              <w:t>programs meets the minimum requirements for business/business related credit-hours/courses.</w:t>
            </w:r>
          </w:p>
        </w:tc>
        <w:tc>
          <w:tcPr>
            <w:tcW w:w="2533" w:type="dxa"/>
            <w:vAlign w:val="center"/>
          </w:tcPr>
          <w:p w14:paraId="349C1013" w14:textId="49FCC5BA" w:rsidR="00B05C5E" w:rsidRDefault="00B05C5E" w:rsidP="00B05C5E">
            <w:pPr>
              <w:ind w:left="0"/>
            </w:pPr>
          </w:p>
        </w:tc>
      </w:tr>
      <w:tr w:rsidR="009F7B6C" w:rsidRPr="00EF4879" w14:paraId="73E34F59" w14:textId="77777777" w:rsidTr="604C6CA9">
        <w:trPr>
          <w:cantSplit/>
          <w:trHeight w:val="288"/>
          <w:jc w:val="center"/>
        </w:trPr>
        <w:tc>
          <w:tcPr>
            <w:tcW w:w="447" w:type="dxa"/>
            <w:tcMar>
              <w:left w:w="0" w:type="dxa"/>
              <w:right w:w="0" w:type="dxa"/>
            </w:tcMar>
            <w:vAlign w:val="center"/>
          </w:tcPr>
          <w:p w14:paraId="6BF10B0F" w14:textId="121B3E5D" w:rsidR="009F7B6C" w:rsidRDefault="004563A9" w:rsidP="00B05C5E">
            <w:pPr>
              <w:ind w:left="0"/>
              <w:jc w:val="center"/>
            </w:pPr>
            <w:r>
              <w:t>2</w:t>
            </w:r>
            <w:r w:rsidR="006A02F4">
              <w:t>2</w:t>
            </w:r>
          </w:p>
        </w:tc>
        <w:tc>
          <w:tcPr>
            <w:tcW w:w="6390" w:type="dxa"/>
            <w:vAlign w:val="center"/>
          </w:tcPr>
          <w:p w14:paraId="0B26844F" w14:textId="73EFABEA" w:rsidR="009F7B6C" w:rsidRPr="00315CE0" w:rsidRDefault="009F7B6C" w:rsidP="00B05C5E">
            <w:pPr>
              <w:ind w:left="0"/>
              <w:rPr>
                <w:b/>
              </w:rPr>
            </w:pPr>
            <w:r w:rsidRPr="00315CE0">
              <w:rPr>
                <w:b/>
              </w:rPr>
              <w:t>Complaint Review – Stamford International University</w:t>
            </w:r>
            <w:r w:rsidR="00E113EB" w:rsidRPr="00315CE0">
              <w:rPr>
                <w:b/>
              </w:rPr>
              <w:t xml:space="preserve"> (SIU)</w:t>
            </w:r>
          </w:p>
          <w:p w14:paraId="6A656CED" w14:textId="451A2924" w:rsidR="00591BD0" w:rsidRDefault="00E113EB" w:rsidP="00B05C5E">
            <w:pPr>
              <w:ind w:left="0"/>
            </w:pPr>
            <w:r>
              <w:t xml:space="preserve">BOC Finding:  </w:t>
            </w:r>
            <w:r w:rsidR="00591BD0">
              <w:t xml:space="preserve">Reviewed complaint </w:t>
            </w:r>
            <w:r>
              <w:t>and SIU’s response</w:t>
            </w:r>
            <w:r w:rsidR="00591BD0">
              <w:t xml:space="preserve">– </w:t>
            </w:r>
            <w:r>
              <w:t>requested staff</w:t>
            </w:r>
            <w:r w:rsidR="00591BD0">
              <w:t xml:space="preserve"> to draft </w:t>
            </w:r>
            <w:r>
              <w:t xml:space="preserve">a response </w:t>
            </w:r>
            <w:r w:rsidR="00591BD0">
              <w:t>letter and send to BOC for review</w:t>
            </w:r>
            <w:r>
              <w:t xml:space="preserve"> taking in to account the following – </w:t>
            </w:r>
          </w:p>
          <w:p w14:paraId="7023A944" w14:textId="43F42A64" w:rsidR="00E113EB" w:rsidRDefault="00E113EB" w:rsidP="00E263C3">
            <w:pPr>
              <w:pStyle w:val="ListParagraph"/>
              <w:numPr>
                <w:ilvl w:val="0"/>
                <w:numId w:val="2"/>
              </w:numPr>
              <w:ind w:left="330"/>
              <w:rPr>
                <w:bCs/>
              </w:rPr>
            </w:pPr>
            <w:r>
              <w:rPr>
                <w:bCs/>
              </w:rPr>
              <w:t>IACBE does not accredit institutions, but rather specific programs</w:t>
            </w:r>
          </w:p>
          <w:p w14:paraId="090B1B18" w14:textId="56FC39D3" w:rsidR="00E113EB" w:rsidRDefault="00E113EB" w:rsidP="00E263C3">
            <w:pPr>
              <w:pStyle w:val="ListParagraph"/>
              <w:numPr>
                <w:ilvl w:val="0"/>
                <w:numId w:val="2"/>
              </w:numPr>
              <w:ind w:left="330"/>
              <w:rPr>
                <w:bCs/>
              </w:rPr>
            </w:pPr>
            <w:r>
              <w:rPr>
                <w:bCs/>
              </w:rPr>
              <w:t>The BOC does not find the complaint demonstrates that the accredited programs are out of compliance with the IACBE accreditation principles</w:t>
            </w:r>
          </w:p>
          <w:p w14:paraId="2D161A1A" w14:textId="77777777" w:rsidR="00E113EB" w:rsidRDefault="00E113EB" w:rsidP="00E263C3">
            <w:pPr>
              <w:pStyle w:val="ListParagraph"/>
              <w:numPr>
                <w:ilvl w:val="0"/>
                <w:numId w:val="2"/>
              </w:numPr>
              <w:ind w:left="330"/>
              <w:rPr>
                <w:bCs/>
              </w:rPr>
            </w:pPr>
            <w:r>
              <w:rPr>
                <w:bCs/>
              </w:rPr>
              <w:t>IACBE does not accredit the MBA offered by the university</w:t>
            </w:r>
          </w:p>
          <w:p w14:paraId="1FB8EF7B" w14:textId="77777777" w:rsidR="00E113EB" w:rsidRDefault="00E113EB" w:rsidP="00E263C3">
            <w:pPr>
              <w:pStyle w:val="ListParagraph"/>
              <w:numPr>
                <w:ilvl w:val="0"/>
                <w:numId w:val="2"/>
              </w:numPr>
              <w:ind w:left="330"/>
              <w:rPr>
                <w:bCs/>
              </w:rPr>
            </w:pPr>
            <w:r>
              <w:rPr>
                <w:bCs/>
              </w:rPr>
              <w:t xml:space="preserve">The BOC noted that the IACBE does not regulate operational decisions related to faculty assignments or marketing/advertising as long as the programs remain in compliance with the IACBE accreditation principles </w:t>
            </w:r>
          </w:p>
          <w:p w14:paraId="2CD1A905" w14:textId="77777777" w:rsidR="00E113EB" w:rsidRDefault="00E113EB" w:rsidP="00E263C3">
            <w:pPr>
              <w:pStyle w:val="ListParagraph"/>
              <w:numPr>
                <w:ilvl w:val="0"/>
                <w:numId w:val="2"/>
              </w:numPr>
              <w:ind w:left="330"/>
              <w:rPr>
                <w:bCs/>
              </w:rPr>
            </w:pPr>
            <w:r>
              <w:rPr>
                <w:bCs/>
              </w:rPr>
              <w:t>The ethical issues that were identified were not substantiated and SIU provided responses that supported compliance with IACBE accreditation principles</w:t>
            </w:r>
          </w:p>
          <w:p w14:paraId="19422448" w14:textId="3D92A506" w:rsidR="00E113EB" w:rsidRPr="00E113EB" w:rsidRDefault="00E113EB" w:rsidP="00E263C3">
            <w:pPr>
              <w:pStyle w:val="ListParagraph"/>
              <w:numPr>
                <w:ilvl w:val="0"/>
                <w:numId w:val="2"/>
              </w:numPr>
              <w:ind w:left="330"/>
              <w:rPr>
                <w:bCs/>
              </w:rPr>
            </w:pPr>
            <w:r>
              <w:rPr>
                <w:bCs/>
              </w:rPr>
              <w:t>Overall, the BOC determined that many of the issues (as listed above) identified in the complaint are not under IACBE purview.</w:t>
            </w:r>
          </w:p>
        </w:tc>
        <w:tc>
          <w:tcPr>
            <w:tcW w:w="2533" w:type="dxa"/>
            <w:vAlign w:val="center"/>
          </w:tcPr>
          <w:p w14:paraId="19768BF1" w14:textId="013A489D" w:rsidR="009F7B6C" w:rsidRDefault="009F7B6C" w:rsidP="00B05C5E">
            <w:pPr>
              <w:ind w:left="0"/>
            </w:pPr>
          </w:p>
        </w:tc>
      </w:tr>
      <w:tr w:rsidR="00B05C5E" w:rsidRPr="00EF4879" w14:paraId="3A8E5B57" w14:textId="77777777" w:rsidTr="604C6CA9">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3ABE4367" w14:textId="7BFB90C3" w:rsidR="00B05C5E" w:rsidRPr="001A26EF" w:rsidRDefault="004B181E" w:rsidP="00B05C5E">
            <w:pPr>
              <w:ind w:left="0"/>
              <w:jc w:val="center"/>
              <w:rPr>
                <w:b/>
                <w:bCs/>
              </w:rPr>
            </w:pPr>
            <w:r>
              <w:rPr>
                <w:b/>
                <w:bCs/>
              </w:rPr>
              <w:t>J</w:t>
            </w:r>
          </w:p>
        </w:tc>
        <w:tc>
          <w:tcPr>
            <w:tcW w:w="8923" w:type="dxa"/>
            <w:gridSpan w:val="2"/>
            <w:shd w:val="clear" w:color="auto" w:fill="DBE5F1" w:themeFill="accent1" w:themeFillTint="33"/>
            <w:tcMar>
              <w:top w:w="0" w:type="dxa"/>
              <w:bottom w:w="0" w:type="dxa"/>
            </w:tcMar>
            <w:vAlign w:val="center"/>
          </w:tcPr>
          <w:p w14:paraId="302C9CF6" w14:textId="77777777" w:rsidR="00B05C5E" w:rsidRPr="00EF4879" w:rsidRDefault="00B05C5E" w:rsidP="00B05C5E">
            <w:pPr>
              <w:ind w:left="0"/>
              <w:jc w:val="center"/>
              <w:rPr>
                <w:b/>
                <w:bCs/>
                <w:highlight w:val="cyan"/>
              </w:rPr>
            </w:pPr>
            <w:r w:rsidRPr="00D90D2A">
              <w:rPr>
                <w:b/>
                <w:bCs/>
              </w:rPr>
              <w:t>EXTENSION REQUESTS</w:t>
            </w:r>
          </w:p>
        </w:tc>
      </w:tr>
      <w:tr w:rsidR="00B05C5E" w:rsidRPr="00EF4879" w14:paraId="79A56139" w14:textId="77777777" w:rsidTr="604C6CA9">
        <w:trPr>
          <w:cantSplit/>
          <w:trHeight w:val="288"/>
          <w:jc w:val="center"/>
        </w:trPr>
        <w:tc>
          <w:tcPr>
            <w:tcW w:w="447" w:type="dxa"/>
            <w:tcMar>
              <w:left w:w="0" w:type="dxa"/>
              <w:right w:w="0" w:type="dxa"/>
            </w:tcMar>
            <w:vAlign w:val="center"/>
          </w:tcPr>
          <w:p w14:paraId="0252E782" w14:textId="56E3692E" w:rsidR="00B05C5E" w:rsidRPr="003D1C2D" w:rsidRDefault="00B05C5E" w:rsidP="00B05C5E">
            <w:pPr>
              <w:ind w:left="0"/>
              <w:jc w:val="center"/>
            </w:pPr>
          </w:p>
        </w:tc>
        <w:tc>
          <w:tcPr>
            <w:tcW w:w="6390" w:type="dxa"/>
            <w:vAlign w:val="center"/>
          </w:tcPr>
          <w:p w14:paraId="418823F8" w14:textId="47F1950A" w:rsidR="00B05C5E" w:rsidRPr="003D1C2D" w:rsidRDefault="00B05C5E" w:rsidP="00670251">
            <w:pPr>
              <w:ind w:left="0"/>
              <w:jc w:val="center"/>
              <w:rPr>
                <w:bCs/>
                <w:i/>
              </w:rPr>
            </w:pPr>
            <w:r w:rsidRPr="003D1C2D">
              <w:rPr>
                <w:i/>
              </w:rPr>
              <w:t>Extension of Accreditation</w:t>
            </w:r>
          </w:p>
        </w:tc>
        <w:tc>
          <w:tcPr>
            <w:tcW w:w="2533" w:type="dxa"/>
            <w:vAlign w:val="center"/>
          </w:tcPr>
          <w:p w14:paraId="1ED8AE59" w14:textId="75CA1323" w:rsidR="00B05C5E" w:rsidRPr="003D1C2D" w:rsidRDefault="00B05C5E" w:rsidP="00B05C5E">
            <w:pPr>
              <w:ind w:left="0"/>
            </w:pPr>
          </w:p>
        </w:tc>
      </w:tr>
      <w:tr w:rsidR="00670251" w:rsidRPr="00EF4879" w14:paraId="00B41969" w14:textId="77777777" w:rsidTr="604C6CA9">
        <w:trPr>
          <w:cantSplit/>
          <w:trHeight w:val="288"/>
          <w:jc w:val="center"/>
        </w:trPr>
        <w:tc>
          <w:tcPr>
            <w:tcW w:w="447" w:type="dxa"/>
            <w:tcMar>
              <w:left w:w="0" w:type="dxa"/>
              <w:right w:w="0" w:type="dxa"/>
            </w:tcMar>
            <w:vAlign w:val="center"/>
          </w:tcPr>
          <w:p w14:paraId="2FC2A495" w14:textId="021EB700" w:rsidR="00670251" w:rsidRPr="003D1C2D" w:rsidRDefault="00670251" w:rsidP="00B05C5E">
            <w:pPr>
              <w:ind w:left="0"/>
              <w:jc w:val="center"/>
            </w:pPr>
            <w:r>
              <w:t>2</w:t>
            </w:r>
            <w:r w:rsidR="006A02F4">
              <w:t>3</w:t>
            </w:r>
          </w:p>
        </w:tc>
        <w:tc>
          <w:tcPr>
            <w:tcW w:w="6390" w:type="dxa"/>
            <w:vAlign w:val="center"/>
          </w:tcPr>
          <w:p w14:paraId="2FCF4EF0" w14:textId="77777777" w:rsidR="00670251" w:rsidRPr="00315CE0" w:rsidRDefault="00670251" w:rsidP="00670251">
            <w:pPr>
              <w:ind w:left="0"/>
              <w:rPr>
                <w:b/>
                <w:iCs/>
              </w:rPr>
            </w:pPr>
            <w:r w:rsidRPr="00315CE0">
              <w:rPr>
                <w:b/>
                <w:iCs/>
              </w:rPr>
              <w:t>Humboldt State University</w:t>
            </w:r>
          </w:p>
          <w:p w14:paraId="5930A75E" w14:textId="69327B85" w:rsidR="00591BD0" w:rsidRPr="00670251" w:rsidRDefault="00591BD0" w:rsidP="00670251">
            <w:pPr>
              <w:ind w:left="0"/>
              <w:rPr>
                <w:bCs/>
                <w:iCs/>
              </w:rPr>
            </w:pPr>
            <w:r>
              <w:t>One</w:t>
            </w:r>
            <w:r w:rsidR="00315CE0">
              <w:t>-</w:t>
            </w:r>
            <w:r>
              <w:t>year extension granted</w:t>
            </w:r>
            <w:r w:rsidR="00315CE0">
              <w:t xml:space="preserve"> to 12-31-22</w:t>
            </w:r>
          </w:p>
        </w:tc>
        <w:tc>
          <w:tcPr>
            <w:tcW w:w="2533" w:type="dxa"/>
            <w:vAlign w:val="center"/>
          </w:tcPr>
          <w:p w14:paraId="3A91A6AD" w14:textId="77777777" w:rsidR="00670251" w:rsidRPr="003D1C2D" w:rsidRDefault="00670251" w:rsidP="00B05C5E">
            <w:pPr>
              <w:ind w:left="0"/>
            </w:pPr>
          </w:p>
        </w:tc>
      </w:tr>
      <w:tr w:rsidR="00670251" w:rsidRPr="00EF4879" w14:paraId="73243D0D" w14:textId="77777777" w:rsidTr="604C6CA9">
        <w:trPr>
          <w:cantSplit/>
          <w:trHeight w:val="288"/>
          <w:jc w:val="center"/>
        </w:trPr>
        <w:tc>
          <w:tcPr>
            <w:tcW w:w="447" w:type="dxa"/>
            <w:tcMar>
              <w:left w:w="0" w:type="dxa"/>
              <w:right w:w="0" w:type="dxa"/>
            </w:tcMar>
            <w:vAlign w:val="center"/>
          </w:tcPr>
          <w:p w14:paraId="3C255FF0" w14:textId="33279D3E" w:rsidR="00670251" w:rsidRPr="003D1C2D" w:rsidRDefault="00670251" w:rsidP="00B05C5E">
            <w:pPr>
              <w:ind w:left="0"/>
              <w:jc w:val="center"/>
            </w:pPr>
            <w:r w:rsidRPr="003D1C2D">
              <w:t>2</w:t>
            </w:r>
            <w:r w:rsidR="006A02F4">
              <w:t>4</w:t>
            </w:r>
          </w:p>
        </w:tc>
        <w:tc>
          <w:tcPr>
            <w:tcW w:w="6390" w:type="dxa"/>
            <w:vAlign w:val="center"/>
          </w:tcPr>
          <w:p w14:paraId="3BDAEE41" w14:textId="77777777" w:rsidR="00670251" w:rsidRPr="00315CE0" w:rsidRDefault="00670251" w:rsidP="00670251">
            <w:pPr>
              <w:ind w:left="0"/>
              <w:rPr>
                <w:b/>
                <w:iCs/>
              </w:rPr>
            </w:pPr>
            <w:r w:rsidRPr="00315CE0">
              <w:rPr>
                <w:b/>
                <w:iCs/>
              </w:rPr>
              <w:t>International University in Geneva</w:t>
            </w:r>
          </w:p>
          <w:p w14:paraId="00DE468B" w14:textId="58F3086E" w:rsidR="00591BD0" w:rsidRPr="00670251" w:rsidRDefault="00591BD0" w:rsidP="00670251">
            <w:pPr>
              <w:ind w:left="0"/>
              <w:rPr>
                <w:iCs/>
              </w:rPr>
            </w:pPr>
            <w:r>
              <w:t>Extension granted to 12-31-22, must attend accreditation institute prior to beginning self-study year of 2020-2021</w:t>
            </w:r>
          </w:p>
        </w:tc>
        <w:tc>
          <w:tcPr>
            <w:tcW w:w="2533" w:type="dxa"/>
            <w:vAlign w:val="center"/>
          </w:tcPr>
          <w:p w14:paraId="6A44F97E" w14:textId="77777777" w:rsidR="00670251" w:rsidRPr="003D1C2D" w:rsidRDefault="00670251" w:rsidP="00B05C5E">
            <w:pPr>
              <w:ind w:left="0"/>
            </w:pPr>
          </w:p>
        </w:tc>
      </w:tr>
      <w:tr w:rsidR="00670251" w:rsidRPr="00EF4879" w14:paraId="6E6598CC" w14:textId="77777777" w:rsidTr="00E263C3">
        <w:trPr>
          <w:cantSplit/>
          <w:trHeight w:val="59"/>
          <w:jc w:val="center"/>
        </w:trPr>
        <w:tc>
          <w:tcPr>
            <w:tcW w:w="447" w:type="dxa"/>
            <w:tcMar>
              <w:left w:w="0" w:type="dxa"/>
              <w:right w:w="0" w:type="dxa"/>
            </w:tcMar>
            <w:vAlign w:val="center"/>
          </w:tcPr>
          <w:p w14:paraId="7DBD2A0A" w14:textId="77777777" w:rsidR="00670251" w:rsidRPr="003D1C2D" w:rsidRDefault="00670251" w:rsidP="00B05C5E">
            <w:pPr>
              <w:ind w:left="0"/>
              <w:jc w:val="center"/>
            </w:pPr>
          </w:p>
        </w:tc>
        <w:tc>
          <w:tcPr>
            <w:tcW w:w="6390" w:type="dxa"/>
            <w:vAlign w:val="center"/>
          </w:tcPr>
          <w:p w14:paraId="5D02AC7B" w14:textId="77777777" w:rsidR="00670251" w:rsidRPr="00E263C3" w:rsidRDefault="00670251" w:rsidP="00670251">
            <w:pPr>
              <w:ind w:left="0"/>
              <w:rPr>
                <w:i/>
                <w:sz w:val="16"/>
                <w:szCs w:val="16"/>
              </w:rPr>
            </w:pPr>
          </w:p>
        </w:tc>
        <w:tc>
          <w:tcPr>
            <w:tcW w:w="2533" w:type="dxa"/>
            <w:vAlign w:val="center"/>
          </w:tcPr>
          <w:p w14:paraId="4A9FC56C" w14:textId="77777777" w:rsidR="00670251" w:rsidRPr="003D1C2D" w:rsidRDefault="00670251" w:rsidP="00B05C5E">
            <w:pPr>
              <w:ind w:left="0"/>
            </w:pPr>
          </w:p>
        </w:tc>
      </w:tr>
      <w:tr w:rsidR="00B05C5E" w:rsidRPr="00EF4879" w14:paraId="5221E6C5" w14:textId="77777777" w:rsidTr="604C6CA9">
        <w:trPr>
          <w:cantSplit/>
          <w:trHeight w:val="288"/>
          <w:jc w:val="center"/>
        </w:trPr>
        <w:tc>
          <w:tcPr>
            <w:tcW w:w="447" w:type="dxa"/>
            <w:tcMar>
              <w:left w:w="0" w:type="dxa"/>
              <w:right w:w="0" w:type="dxa"/>
            </w:tcMar>
            <w:vAlign w:val="center"/>
          </w:tcPr>
          <w:p w14:paraId="13478FEB" w14:textId="77777777" w:rsidR="00B05C5E" w:rsidRPr="003D1C2D" w:rsidRDefault="00B05C5E" w:rsidP="00B05C5E">
            <w:pPr>
              <w:ind w:left="0"/>
              <w:jc w:val="center"/>
            </w:pPr>
          </w:p>
        </w:tc>
        <w:tc>
          <w:tcPr>
            <w:tcW w:w="6390" w:type="dxa"/>
            <w:vAlign w:val="center"/>
          </w:tcPr>
          <w:p w14:paraId="3B68E0EB" w14:textId="2DF1CD90" w:rsidR="00B05C5E" w:rsidRPr="003D1C2D" w:rsidRDefault="00B05C5E" w:rsidP="00871B7B">
            <w:pPr>
              <w:ind w:left="0"/>
              <w:jc w:val="center"/>
              <w:rPr>
                <w:i/>
              </w:rPr>
            </w:pPr>
            <w:r w:rsidRPr="003D1C2D">
              <w:rPr>
                <w:i/>
              </w:rPr>
              <w:t>Extension of Deadline for BOC Notes</w:t>
            </w:r>
            <w:r w:rsidR="004C5131" w:rsidRPr="003D1C2D">
              <w:rPr>
                <w:i/>
              </w:rPr>
              <w:t>-None</w:t>
            </w:r>
          </w:p>
        </w:tc>
        <w:tc>
          <w:tcPr>
            <w:tcW w:w="2533" w:type="dxa"/>
            <w:vAlign w:val="center"/>
          </w:tcPr>
          <w:p w14:paraId="41897A34" w14:textId="77777777" w:rsidR="00B05C5E" w:rsidRPr="003D1C2D" w:rsidRDefault="00B05C5E" w:rsidP="00B05C5E">
            <w:pPr>
              <w:ind w:left="0"/>
            </w:pPr>
          </w:p>
        </w:tc>
      </w:tr>
      <w:tr w:rsidR="00B05C5E" w:rsidRPr="00EF4879" w14:paraId="66FA721F" w14:textId="77777777" w:rsidTr="604C6CA9">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139560BF" w14:textId="4092529A" w:rsidR="00B05C5E" w:rsidRPr="003D1C2D" w:rsidRDefault="004B181E" w:rsidP="00B05C5E">
            <w:pPr>
              <w:ind w:left="0"/>
              <w:jc w:val="center"/>
              <w:rPr>
                <w:b/>
                <w:bCs/>
              </w:rPr>
            </w:pPr>
            <w:r w:rsidRPr="003D1C2D">
              <w:rPr>
                <w:b/>
                <w:bCs/>
              </w:rPr>
              <w:t>K</w:t>
            </w:r>
          </w:p>
        </w:tc>
        <w:tc>
          <w:tcPr>
            <w:tcW w:w="8923" w:type="dxa"/>
            <w:gridSpan w:val="2"/>
            <w:shd w:val="clear" w:color="auto" w:fill="DBE5F1" w:themeFill="accent1" w:themeFillTint="33"/>
            <w:tcMar>
              <w:top w:w="0" w:type="dxa"/>
              <w:bottom w:w="0" w:type="dxa"/>
            </w:tcMar>
            <w:vAlign w:val="center"/>
          </w:tcPr>
          <w:p w14:paraId="64AD49F0" w14:textId="7A67BB45" w:rsidR="00B05C5E" w:rsidRPr="003D1C2D" w:rsidRDefault="00B05C5E" w:rsidP="00B05C5E">
            <w:pPr>
              <w:ind w:left="0"/>
              <w:jc w:val="center"/>
            </w:pPr>
            <w:r w:rsidRPr="003D1C2D">
              <w:rPr>
                <w:b/>
                <w:bCs/>
              </w:rPr>
              <w:t>OTHER BUSINESS</w:t>
            </w:r>
          </w:p>
        </w:tc>
      </w:tr>
      <w:tr w:rsidR="003C13D0" w:rsidRPr="00EF4879" w14:paraId="0D4CD6CA" w14:textId="77777777" w:rsidTr="604C6CA9">
        <w:trPr>
          <w:cantSplit/>
          <w:trHeight w:val="288"/>
          <w:jc w:val="center"/>
        </w:trPr>
        <w:tc>
          <w:tcPr>
            <w:tcW w:w="447" w:type="dxa"/>
            <w:tcMar>
              <w:left w:w="0" w:type="dxa"/>
              <w:right w:w="0" w:type="dxa"/>
            </w:tcMar>
            <w:vAlign w:val="center"/>
          </w:tcPr>
          <w:p w14:paraId="30F90BB8" w14:textId="479259AE" w:rsidR="003C13D0" w:rsidRPr="003D1C2D" w:rsidRDefault="001811E4" w:rsidP="003C13D0">
            <w:pPr>
              <w:spacing w:line="259" w:lineRule="auto"/>
              <w:ind w:left="0"/>
              <w:jc w:val="center"/>
            </w:pPr>
            <w:r>
              <w:lastRenderedPageBreak/>
              <w:t>2</w:t>
            </w:r>
            <w:r w:rsidR="006A02F4">
              <w:t>5</w:t>
            </w:r>
          </w:p>
        </w:tc>
        <w:tc>
          <w:tcPr>
            <w:tcW w:w="6390" w:type="dxa"/>
            <w:vAlign w:val="center"/>
          </w:tcPr>
          <w:p w14:paraId="47E0A3BD" w14:textId="77777777" w:rsidR="003C13D0" w:rsidRPr="00315CE0" w:rsidRDefault="003C13D0" w:rsidP="003C13D0">
            <w:pPr>
              <w:ind w:left="0"/>
              <w:rPr>
                <w:b/>
                <w:bCs/>
              </w:rPr>
            </w:pPr>
            <w:r w:rsidRPr="00315CE0">
              <w:rPr>
                <w:b/>
                <w:bCs/>
              </w:rPr>
              <w:t>Decision Review</w:t>
            </w:r>
          </w:p>
          <w:p w14:paraId="5B6E78F8" w14:textId="06B2C0E6" w:rsidR="00F8525F" w:rsidRPr="00772D87" w:rsidRDefault="00F8525F" w:rsidP="00F8525F">
            <w:pPr>
              <w:tabs>
                <w:tab w:val="left" w:pos="6528"/>
              </w:tabs>
              <w:ind w:left="0"/>
              <w:contextualSpacing/>
              <w:rPr>
                <w:rFonts w:cs="Times New Roman"/>
              </w:rPr>
            </w:pPr>
            <w:r w:rsidRPr="00772D87">
              <w:rPr>
                <w:rFonts w:cs="Times New Roman"/>
              </w:rPr>
              <w:t>The commissioners reviewed their accreditation decisions using a grid showing the distribution of notes and observations both vertically (across principles) and horizontally (across institutions) to help ensure consistency of their decisions.</w:t>
            </w:r>
            <w:r w:rsidR="00BD2835">
              <w:rPr>
                <w:rFonts w:cs="Times New Roman"/>
              </w:rPr>
              <w:t xml:space="preserve"> (attached)</w:t>
            </w:r>
          </w:p>
          <w:p w14:paraId="78D311B3" w14:textId="056D94BC" w:rsidR="00F8525F" w:rsidRPr="00772D87" w:rsidRDefault="00F8525F" w:rsidP="00F8525F">
            <w:pPr>
              <w:ind w:left="0"/>
              <w:contextualSpacing/>
              <w:rPr>
                <w:rFonts w:cs="Times New Roman"/>
              </w:rPr>
            </w:pPr>
            <w:r w:rsidRPr="00772D87">
              <w:rPr>
                <w:rFonts w:cs="Times New Roman"/>
              </w:rPr>
              <w:t>After review, the commissioners found their decisions to be fair, balanced, and consistent.</w:t>
            </w:r>
          </w:p>
          <w:p w14:paraId="545AEB53" w14:textId="77777777" w:rsidR="00F8525F" w:rsidRDefault="00F8525F" w:rsidP="00F8525F">
            <w:pPr>
              <w:ind w:left="0"/>
              <w:contextualSpacing/>
            </w:pPr>
            <w:r w:rsidRPr="00772D87">
              <w:t xml:space="preserve">It was moved and seconded to accept their decisions as </w:t>
            </w:r>
            <w:r>
              <w:t>originally determined</w:t>
            </w:r>
            <w:r w:rsidRPr="00772D87">
              <w:t xml:space="preserve">. </w:t>
            </w:r>
          </w:p>
          <w:p w14:paraId="5D43605E" w14:textId="0F4C83EB" w:rsidR="00F8525F" w:rsidRPr="003D1C2D" w:rsidRDefault="00F8525F" w:rsidP="003C13D0">
            <w:pPr>
              <w:ind w:left="0"/>
              <w:contextualSpacing/>
            </w:pPr>
            <w:r>
              <w:t>M</w:t>
            </w:r>
            <w:r w:rsidRPr="00772D87">
              <w:t>otion passed</w:t>
            </w:r>
            <w:r>
              <w:t xml:space="preserve"> following discussion</w:t>
            </w:r>
            <w:r w:rsidRPr="00772D87">
              <w:t>.</w:t>
            </w:r>
          </w:p>
        </w:tc>
        <w:tc>
          <w:tcPr>
            <w:tcW w:w="2533" w:type="dxa"/>
          </w:tcPr>
          <w:p w14:paraId="7CD4DDC5" w14:textId="30286B04" w:rsidR="003C13D0" w:rsidRPr="003D1C2D" w:rsidRDefault="003C13D0" w:rsidP="003C13D0">
            <w:pPr>
              <w:ind w:left="0"/>
            </w:pPr>
          </w:p>
        </w:tc>
      </w:tr>
      <w:tr w:rsidR="003C13D0" w:rsidRPr="00EF4879" w14:paraId="622D056B" w14:textId="77777777" w:rsidTr="604C6CA9">
        <w:trPr>
          <w:cantSplit/>
          <w:trHeight w:val="288"/>
          <w:jc w:val="center"/>
        </w:trPr>
        <w:tc>
          <w:tcPr>
            <w:tcW w:w="447" w:type="dxa"/>
            <w:tcMar>
              <w:left w:w="0" w:type="dxa"/>
              <w:right w:w="0" w:type="dxa"/>
            </w:tcMar>
            <w:vAlign w:val="center"/>
          </w:tcPr>
          <w:p w14:paraId="57D8BF8D" w14:textId="65F7A7A2" w:rsidR="003C13D0" w:rsidRPr="003D1C2D" w:rsidRDefault="001811E4" w:rsidP="604C6CA9">
            <w:pPr>
              <w:ind w:left="0"/>
              <w:jc w:val="center"/>
            </w:pPr>
            <w:r>
              <w:t>2</w:t>
            </w:r>
            <w:r w:rsidR="006A02F4">
              <w:t>6</w:t>
            </w:r>
          </w:p>
        </w:tc>
        <w:tc>
          <w:tcPr>
            <w:tcW w:w="6390" w:type="dxa"/>
            <w:vAlign w:val="center"/>
          </w:tcPr>
          <w:p w14:paraId="30CD4796" w14:textId="77777777" w:rsidR="003C13D0" w:rsidRPr="001740E4" w:rsidRDefault="604C6CA9" w:rsidP="604C6CA9">
            <w:pPr>
              <w:ind w:left="0"/>
              <w:rPr>
                <w:b/>
                <w:bCs/>
              </w:rPr>
            </w:pPr>
            <w:r w:rsidRPr="001740E4">
              <w:rPr>
                <w:b/>
                <w:bCs/>
              </w:rPr>
              <w:t>Post-Review Evaluation of BOC Policies and Procedures</w:t>
            </w:r>
          </w:p>
          <w:p w14:paraId="36C16C37" w14:textId="4D572E4B" w:rsidR="001740E4" w:rsidRDefault="001740E4" w:rsidP="004B257B">
            <w:pPr>
              <w:pStyle w:val="ListParagraph"/>
              <w:numPr>
                <w:ilvl w:val="0"/>
                <w:numId w:val="11"/>
              </w:numPr>
              <w:ind w:left="330"/>
            </w:pPr>
            <w:r>
              <w:t>The BOC did not note any needed changes to the BOC Policies and Procedures</w:t>
            </w:r>
            <w:r w:rsidR="00AF0921">
              <w:t>.</w:t>
            </w:r>
          </w:p>
          <w:p w14:paraId="532DFD42" w14:textId="1BAF61B9" w:rsidR="004B257B" w:rsidRDefault="00AF0921" w:rsidP="004B257B">
            <w:pPr>
              <w:pStyle w:val="ListParagraph"/>
              <w:numPr>
                <w:ilvl w:val="0"/>
                <w:numId w:val="11"/>
              </w:numPr>
              <w:ind w:left="330"/>
            </w:pPr>
            <w:r>
              <w:t>The BOC review</w:t>
            </w:r>
            <w:r w:rsidR="004B257B">
              <w:t>ed</w:t>
            </w:r>
            <w:r>
              <w:t xml:space="preserve"> the New Program requirements</w:t>
            </w:r>
            <w:r w:rsidR="00E263C3">
              <w:t xml:space="preserve"> to add additional guidance for the review of new programs based on four categories  - </w:t>
            </w:r>
            <w:r w:rsidR="00E263C3">
              <w:br/>
            </w:r>
            <w:r w:rsidR="004B257B">
              <w:t>-</w:t>
            </w:r>
            <w:r w:rsidR="00E263C3">
              <w:t>Staff Review</w:t>
            </w:r>
            <w:r w:rsidR="00E263C3">
              <w:br/>
            </w:r>
            <w:r w:rsidR="004B257B">
              <w:t>-</w:t>
            </w:r>
            <w:r w:rsidR="00E263C3">
              <w:t>Fast Track</w:t>
            </w:r>
            <w:r w:rsidR="00E263C3">
              <w:br/>
            </w:r>
            <w:r w:rsidR="004B257B">
              <w:t>-</w:t>
            </w:r>
            <w:r w:rsidR="00E263C3">
              <w:t>Full Review</w:t>
            </w:r>
            <w:r w:rsidR="00E263C3">
              <w:br/>
            </w:r>
            <w:r w:rsidR="004B257B">
              <w:t>-</w:t>
            </w:r>
            <w:r w:rsidR="00E263C3">
              <w:t>New Degree Level (above current accredited level)</w:t>
            </w:r>
            <w:r w:rsidR="00E263C3">
              <w:br/>
            </w:r>
            <w:r>
              <w:t xml:space="preserve">Moved and Seconded to revise the requirements as proposed (document </w:t>
            </w:r>
            <w:r w:rsidR="00E263C3">
              <w:t>attached) Motion passed.</w:t>
            </w:r>
          </w:p>
          <w:p w14:paraId="31395898" w14:textId="11430546" w:rsidR="00AF0921" w:rsidRPr="003D1C2D" w:rsidRDefault="004B257B" w:rsidP="004B257B">
            <w:pPr>
              <w:pStyle w:val="ListParagraph"/>
              <w:numPr>
                <w:ilvl w:val="0"/>
                <w:numId w:val="11"/>
              </w:numPr>
              <w:ind w:left="330"/>
            </w:pPr>
            <w:r>
              <w:t>The BOC requested that staff add a place for schools to provide the number of part-time faculty on the candidacy application.</w:t>
            </w:r>
          </w:p>
        </w:tc>
        <w:tc>
          <w:tcPr>
            <w:tcW w:w="2533" w:type="dxa"/>
          </w:tcPr>
          <w:p w14:paraId="000886EE" w14:textId="199E40E9" w:rsidR="003C13D0" w:rsidRPr="003D1C2D" w:rsidRDefault="003C13D0" w:rsidP="604C6CA9">
            <w:pPr>
              <w:ind w:left="0"/>
            </w:pPr>
          </w:p>
        </w:tc>
      </w:tr>
      <w:tr w:rsidR="003E1839" w:rsidRPr="00EF4879" w14:paraId="5A21C039" w14:textId="77777777" w:rsidTr="604C6CA9">
        <w:trPr>
          <w:cantSplit/>
          <w:trHeight w:val="288"/>
          <w:jc w:val="center"/>
        </w:trPr>
        <w:tc>
          <w:tcPr>
            <w:tcW w:w="447" w:type="dxa"/>
            <w:tcMar>
              <w:left w:w="0" w:type="dxa"/>
              <w:right w:w="0" w:type="dxa"/>
            </w:tcMar>
          </w:tcPr>
          <w:p w14:paraId="431D664D" w14:textId="7999D18A" w:rsidR="003E1839" w:rsidRPr="003D1C2D" w:rsidRDefault="001811E4" w:rsidP="604C6CA9">
            <w:pPr>
              <w:ind w:left="0"/>
              <w:jc w:val="center"/>
            </w:pPr>
            <w:r>
              <w:t>2</w:t>
            </w:r>
            <w:r w:rsidR="006A02F4">
              <w:t>7</w:t>
            </w:r>
          </w:p>
        </w:tc>
        <w:tc>
          <w:tcPr>
            <w:tcW w:w="6390" w:type="dxa"/>
            <w:vAlign w:val="center"/>
          </w:tcPr>
          <w:p w14:paraId="5B53DF68" w14:textId="0B11BC96" w:rsidR="003E1839" w:rsidRPr="005349BF" w:rsidRDefault="001740E4" w:rsidP="604C6CA9">
            <w:pPr>
              <w:ind w:left="0"/>
              <w:rPr>
                <w:b/>
                <w:bCs/>
              </w:rPr>
            </w:pPr>
            <w:r w:rsidRPr="005349BF">
              <w:rPr>
                <w:b/>
                <w:bCs/>
              </w:rPr>
              <w:t xml:space="preserve">IQAR </w:t>
            </w:r>
            <w:r w:rsidR="604C6CA9" w:rsidRPr="005349BF">
              <w:rPr>
                <w:b/>
                <w:bCs/>
              </w:rPr>
              <w:t>Compliance Report</w:t>
            </w:r>
          </w:p>
          <w:p w14:paraId="36E63ACA" w14:textId="404EF1E8" w:rsidR="005349BF" w:rsidRPr="005349BF" w:rsidRDefault="005349BF" w:rsidP="005349BF">
            <w:pPr>
              <w:pStyle w:val="Default"/>
              <w:rPr>
                <w:rFonts w:asciiTheme="minorHAnsi" w:hAnsiTheme="minorHAnsi" w:cstheme="minorHAnsi"/>
                <w:sz w:val="22"/>
                <w:szCs w:val="22"/>
              </w:rPr>
            </w:pPr>
            <w:r w:rsidRPr="005349BF">
              <w:rPr>
                <w:rFonts w:asciiTheme="minorHAnsi" w:hAnsiTheme="minorHAnsi" w:cstheme="minorHAnsi"/>
                <w:sz w:val="22"/>
                <w:szCs w:val="22"/>
              </w:rPr>
              <w:t>Twenty-Nine IQAR submissions were due on November 1, 2019. Of these, three were given a bye</w:t>
            </w:r>
            <w:r w:rsidR="00735ABB">
              <w:rPr>
                <w:rFonts w:asciiTheme="minorHAnsi" w:hAnsiTheme="minorHAnsi" w:cstheme="minorHAnsi"/>
                <w:sz w:val="22"/>
                <w:szCs w:val="22"/>
              </w:rPr>
              <w:t xml:space="preserve"> (reasons below)</w:t>
            </w:r>
            <w:r w:rsidRPr="005349BF">
              <w:rPr>
                <w:rFonts w:asciiTheme="minorHAnsi" w:hAnsiTheme="minorHAnsi" w:cstheme="minorHAnsi"/>
                <w:sz w:val="22"/>
                <w:szCs w:val="22"/>
              </w:rPr>
              <w:t xml:space="preserve">, and one was Placed on Probation due to non-compliance. </w:t>
            </w:r>
          </w:p>
          <w:p w14:paraId="396A39FD" w14:textId="0364DA31" w:rsidR="005349BF" w:rsidRPr="005349BF" w:rsidRDefault="005349BF" w:rsidP="004B257B">
            <w:pPr>
              <w:pStyle w:val="Default"/>
              <w:numPr>
                <w:ilvl w:val="0"/>
                <w:numId w:val="10"/>
              </w:numPr>
              <w:ind w:left="330"/>
              <w:rPr>
                <w:rFonts w:asciiTheme="minorHAnsi" w:hAnsiTheme="minorHAnsi" w:cstheme="minorHAnsi"/>
                <w:sz w:val="22"/>
                <w:szCs w:val="22"/>
              </w:rPr>
            </w:pPr>
            <w:r w:rsidRPr="005349BF">
              <w:rPr>
                <w:rFonts w:asciiTheme="minorHAnsi" w:hAnsiTheme="minorHAnsi" w:cstheme="minorHAnsi"/>
                <w:sz w:val="22"/>
                <w:szCs w:val="22"/>
              </w:rPr>
              <w:t>Lourdes University (bye) submitted report in 2018</w:t>
            </w:r>
          </w:p>
          <w:p w14:paraId="3B3F7A40" w14:textId="2FA33383" w:rsidR="005349BF" w:rsidRPr="005349BF" w:rsidRDefault="005349BF" w:rsidP="004B257B">
            <w:pPr>
              <w:pStyle w:val="Default"/>
              <w:numPr>
                <w:ilvl w:val="0"/>
                <w:numId w:val="10"/>
              </w:numPr>
              <w:ind w:left="330"/>
              <w:rPr>
                <w:rFonts w:asciiTheme="minorHAnsi" w:hAnsiTheme="minorHAnsi" w:cstheme="minorHAnsi"/>
                <w:sz w:val="22"/>
                <w:szCs w:val="22"/>
              </w:rPr>
            </w:pPr>
            <w:r w:rsidRPr="005349BF">
              <w:rPr>
                <w:rFonts w:asciiTheme="minorHAnsi" w:hAnsiTheme="minorHAnsi" w:cstheme="minorHAnsi"/>
                <w:sz w:val="22"/>
                <w:szCs w:val="22"/>
              </w:rPr>
              <w:t>Manhattanville College (bye) submitted outcomes for re-assessment in October 2019 to</w:t>
            </w:r>
            <w:r w:rsidR="00735ABB">
              <w:rPr>
                <w:rFonts w:asciiTheme="minorHAnsi" w:hAnsiTheme="minorHAnsi" w:cstheme="minorHAnsi"/>
                <w:sz w:val="22"/>
                <w:szCs w:val="22"/>
              </w:rPr>
              <w:t xml:space="preserve"> </w:t>
            </w:r>
            <w:r w:rsidRPr="005349BF">
              <w:rPr>
                <w:rFonts w:asciiTheme="minorHAnsi" w:hAnsiTheme="minorHAnsi" w:cstheme="minorHAnsi"/>
                <w:sz w:val="22"/>
                <w:szCs w:val="22"/>
              </w:rPr>
              <w:t>resolve a prior BOC Note</w:t>
            </w:r>
          </w:p>
          <w:p w14:paraId="0D41ACD7" w14:textId="191E7077" w:rsidR="005349BF" w:rsidRPr="005349BF" w:rsidRDefault="005349BF" w:rsidP="004B257B">
            <w:pPr>
              <w:pStyle w:val="Default"/>
              <w:numPr>
                <w:ilvl w:val="0"/>
                <w:numId w:val="10"/>
              </w:numPr>
              <w:ind w:left="330"/>
              <w:rPr>
                <w:rFonts w:asciiTheme="minorHAnsi" w:hAnsiTheme="minorHAnsi" w:cstheme="minorHAnsi"/>
                <w:sz w:val="22"/>
                <w:szCs w:val="22"/>
              </w:rPr>
            </w:pPr>
            <w:r w:rsidRPr="005349BF">
              <w:rPr>
                <w:rFonts w:asciiTheme="minorHAnsi" w:hAnsiTheme="minorHAnsi" w:cstheme="minorHAnsi"/>
                <w:sz w:val="22"/>
                <w:szCs w:val="22"/>
              </w:rPr>
              <w:t>Mass</w:t>
            </w:r>
            <w:r w:rsidR="00BD2835">
              <w:rPr>
                <w:rFonts w:asciiTheme="minorHAnsi" w:hAnsiTheme="minorHAnsi" w:cstheme="minorHAnsi"/>
                <w:sz w:val="22"/>
                <w:szCs w:val="22"/>
              </w:rPr>
              <w:t>.</w:t>
            </w:r>
            <w:r w:rsidRPr="005349BF">
              <w:rPr>
                <w:rFonts w:asciiTheme="minorHAnsi" w:hAnsiTheme="minorHAnsi" w:cstheme="minorHAnsi"/>
                <w:sz w:val="22"/>
                <w:szCs w:val="22"/>
              </w:rPr>
              <w:t xml:space="preserve"> Maritime Academy (bye) submitted report in 2018</w:t>
            </w:r>
          </w:p>
          <w:p w14:paraId="2B906170" w14:textId="0C3EF9D6" w:rsidR="005349BF" w:rsidRDefault="005349BF" w:rsidP="004B257B">
            <w:pPr>
              <w:pStyle w:val="Default"/>
              <w:numPr>
                <w:ilvl w:val="0"/>
                <w:numId w:val="10"/>
              </w:numPr>
              <w:ind w:left="330"/>
              <w:rPr>
                <w:rFonts w:asciiTheme="minorHAnsi" w:hAnsiTheme="minorHAnsi" w:cstheme="minorHAnsi"/>
                <w:sz w:val="22"/>
                <w:szCs w:val="22"/>
              </w:rPr>
            </w:pPr>
            <w:r w:rsidRPr="005349BF">
              <w:rPr>
                <w:rFonts w:asciiTheme="minorHAnsi" w:hAnsiTheme="minorHAnsi" w:cstheme="minorHAnsi"/>
                <w:sz w:val="22"/>
                <w:szCs w:val="22"/>
              </w:rPr>
              <w:t xml:space="preserve">Acharya Bangalore Business School (Probation) failed to submit a report. </w:t>
            </w:r>
            <w:r>
              <w:rPr>
                <w:rFonts w:asciiTheme="minorHAnsi" w:hAnsiTheme="minorHAnsi" w:cstheme="minorHAnsi"/>
                <w:sz w:val="22"/>
                <w:szCs w:val="22"/>
              </w:rPr>
              <w:t>Three</w:t>
            </w:r>
            <w:r w:rsidRPr="005349BF">
              <w:rPr>
                <w:rFonts w:asciiTheme="minorHAnsi" w:hAnsiTheme="minorHAnsi" w:cstheme="minorHAnsi"/>
                <w:sz w:val="22"/>
                <w:szCs w:val="22"/>
              </w:rPr>
              <w:t xml:space="preserve"> late</w:t>
            </w:r>
            <w:r>
              <w:rPr>
                <w:rFonts w:asciiTheme="minorHAnsi" w:hAnsiTheme="minorHAnsi" w:cstheme="minorHAnsi"/>
                <w:sz w:val="22"/>
                <w:szCs w:val="22"/>
              </w:rPr>
              <w:t xml:space="preserve"> </w:t>
            </w:r>
            <w:r w:rsidRPr="005349BF">
              <w:rPr>
                <w:rFonts w:asciiTheme="minorHAnsi" w:hAnsiTheme="minorHAnsi" w:cstheme="minorHAnsi"/>
                <w:sz w:val="22"/>
                <w:szCs w:val="22"/>
              </w:rPr>
              <w:t>notifications were sent to the school.</w:t>
            </w:r>
          </w:p>
          <w:p w14:paraId="5C37E599" w14:textId="677012A5" w:rsidR="001740E4" w:rsidRPr="00E263C3" w:rsidRDefault="005349BF" w:rsidP="604C6CA9">
            <w:pPr>
              <w:ind w:left="0"/>
              <w:rPr>
                <w:b/>
                <w:bCs/>
              </w:rPr>
            </w:pPr>
            <w:r w:rsidRPr="00E263C3">
              <w:rPr>
                <w:b/>
                <w:bCs/>
              </w:rPr>
              <w:t>Public Disclosure Compliance</w:t>
            </w:r>
          </w:p>
          <w:p w14:paraId="59EA60A7" w14:textId="7E13D4E4" w:rsidR="005349BF" w:rsidRPr="003D1C2D" w:rsidRDefault="00532E68" w:rsidP="604C6CA9">
            <w:pPr>
              <w:ind w:left="0"/>
            </w:pPr>
            <w:r>
              <w:t>All accredited school have submitted their 2019 disclosures as of March 30, 2020.</w:t>
            </w:r>
          </w:p>
        </w:tc>
        <w:tc>
          <w:tcPr>
            <w:tcW w:w="2533" w:type="dxa"/>
          </w:tcPr>
          <w:p w14:paraId="0F8AC7DA" w14:textId="672CF6EB" w:rsidR="003E1839" w:rsidRPr="003D1C2D" w:rsidRDefault="003E1839" w:rsidP="604C6CA9">
            <w:pPr>
              <w:ind w:left="0"/>
            </w:pPr>
          </w:p>
        </w:tc>
      </w:tr>
      <w:tr w:rsidR="003E1839" w:rsidRPr="00EF4879" w14:paraId="37B14230" w14:textId="77777777" w:rsidTr="604C6CA9">
        <w:trPr>
          <w:cantSplit/>
          <w:trHeight w:val="288"/>
          <w:jc w:val="center"/>
        </w:trPr>
        <w:tc>
          <w:tcPr>
            <w:tcW w:w="447" w:type="dxa"/>
            <w:tcMar>
              <w:left w:w="0" w:type="dxa"/>
              <w:right w:w="0" w:type="dxa"/>
            </w:tcMar>
          </w:tcPr>
          <w:p w14:paraId="5BD8363A" w14:textId="6B39A6A5" w:rsidR="003E1839" w:rsidRPr="003D1C2D" w:rsidRDefault="001811E4" w:rsidP="604C6CA9">
            <w:pPr>
              <w:spacing w:line="259" w:lineRule="auto"/>
              <w:ind w:left="0"/>
              <w:jc w:val="center"/>
            </w:pPr>
            <w:r>
              <w:t>2</w:t>
            </w:r>
            <w:r w:rsidR="006A02F4">
              <w:t>8</w:t>
            </w:r>
          </w:p>
        </w:tc>
        <w:tc>
          <w:tcPr>
            <w:tcW w:w="6390" w:type="dxa"/>
            <w:vAlign w:val="center"/>
          </w:tcPr>
          <w:p w14:paraId="1CE3F1B4" w14:textId="77777777" w:rsidR="003E1839" w:rsidRPr="00315CE0" w:rsidRDefault="604C6CA9" w:rsidP="604C6CA9">
            <w:pPr>
              <w:ind w:left="0"/>
              <w:rPr>
                <w:b/>
                <w:bCs/>
              </w:rPr>
            </w:pPr>
            <w:r w:rsidRPr="00315CE0">
              <w:rPr>
                <w:b/>
                <w:bCs/>
              </w:rPr>
              <w:t>Note Compliance Report</w:t>
            </w:r>
          </w:p>
          <w:p w14:paraId="10A54203" w14:textId="0CEC6247" w:rsidR="00F8525F" w:rsidRPr="003D1C2D" w:rsidRDefault="00F8525F" w:rsidP="604C6CA9">
            <w:pPr>
              <w:ind w:left="0"/>
            </w:pPr>
            <w:r>
              <w:t xml:space="preserve">All notes due by March 31, 2020 have been cleared except for Pacific Union College – principle </w:t>
            </w:r>
            <w:r w:rsidR="002E6147">
              <w:t>4.1 (old principles). Moved and seconded to place the institutions programs on probation if the note is not cleared by April 15, 2020. Motion approved.</w:t>
            </w:r>
          </w:p>
        </w:tc>
        <w:tc>
          <w:tcPr>
            <w:tcW w:w="2533" w:type="dxa"/>
          </w:tcPr>
          <w:p w14:paraId="2EE238FE" w14:textId="43099220" w:rsidR="003E1839" w:rsidRPr="003D1C2D" w:rsidRDefault="003E1839" w:rsidP="604C6CA9">
            <w:pPr>
              <w:ind w:left="0"/>
            </w:pPr>
          </w:p>
        </w:tc>
      </w:tr>
      <w:tr w:rsidR="003E1839" w:rsidRPr="00EF4879" w14:paraId="7A65CABD" w14:textId="77777777" w:rsidTr="604C6CA9">
        <w:trPr>
          <w:cantSplit/>
          <w:trHeight w:val="288"/>
          <w:jc w:val="center"/>
        </w:trPr>
        <w:tc>
          <w:tcPr>
            <w:tcW w:w="447" w:type="dxa"/>
            <w:tcMar>
              <w:left w:w="0" w:type="dxa"/>
              <w:right w:w="0" w:type="dxa"/>
            </w:tcMar>
            <w:vAlign w:val="center"/>
          </w:tcPr>
          <w:p w14:paraId="26450414" w14:textId="7290CBD0" w:rsidR="003E1839" w:rsidRPr="003D1C2D" w:rsidRDefault="004563A9" w:rsidP="604C6CA9">
            <w:pPr>
              <w:ind w:left="0"/>
              <w:jc w:val="center"/>
            </w:pPr>
            <w:r>
              <w:t>29</w:t>
            </w:r>
          </w:p>
        </w:tc>
        <w:tc>
          <w:tcPr>
            <w:tcW w:w="6390" w:type="dxa"/>
            <w:vAlign w:val="center"/>
          </w:tcPr>
          <w:p w14:paraId="1AFA9D04" w14:textId="77777777" w:rsidR="00146005" w:rsidRPr="00315CE0" w:rsidRDefault="003D1C2D" w:rsidP="604C6CA9">
            <w:pPr>
              <w:ind w:left="0"/>
              <w:rPr>
                <w:b/>
                <w:bCs/>
              </w:rPr>
            </w:pPr>
            <w:r w:rsidRPr="00315CE0">
              <w:rPr>
                <w:b/>
                <w:bCs/>
              </w:rPr>
              <w:t>Turkish Recognition</w:t>
            </w:r>
          </w:p>
          <w:p w14:paraId="40BA4889" w14:textId="4D218A8F" w:rsidR="009355C0" w:rsidRPr="003D1C2D" w:rsidRDefault="009355C0" w:rsidP="604C6CA9">
            <w:pPr>
              <w:ind w:left="0"/>
            </w:pPr>
            <w:r>
              <w:t>Informed the BOC that the IACBE has been recognized by the Turkish Higher Education Quality Council as of January 8, 2020.</w:t>
            </w:r>
          </w:p>
        </w:tc>
        <w:tc>
          <w:tcPr>
            <w:tcW w:w="2533" w:type="dxa"/>
          </w:tcPr>
          <w:p w14:paraId="457D7E5F" w14:textId="6137C005" w:rsidR="00146005" w:rsidRPr="003D1C2D" w:rsidRDefault="00146005" w:rsidP="604C6CA9">
            <w:pPr>
              <w:ind w:left="0"/>
            </w:pPr>
          </w:p>
        </w:tc>
      </w:tr>
      <w:tr w:rsidR="003E1839" w:rsidRPr="00EF4879" w14:paraId="0A06205B" w14:textId="77777777" w:rsidTr="00634A88">
        <w:trPr>
          <w:trHeight w:val="3317"/>
          <w:jc w:val="center"/>
        </w:trPr>
        <w:tc>
          <w:tcPr>
            <w:tcW w:w="447" w:type="dxa"/>
            <w:tcMar>
              <w:left w:w="0" w:type="dxa"/>
              <w:right w:w="0" w:type="dxa"/>
            </w:tcMar>
            <w:vAlign w:val="center"/>
          </w:tcPr>
          <w:p w14:paraId="2E1FB8C3" w14:textId="778E6EC8" w:rsidR="003E1839" w:rsidRPr="003D1C2D" w:rsidRDefault="004563A9" w:rsidP="604C6CA9">
            <w:pPr>
              <w:ind w:left="0"/>
              <w:jc w:val="center"/>
            </w:pPr>
            <w:r>
              <w:lastRenderedPageBreak/>
              <w:t>30</w:t>
            </w:r>
          </w:p>
        </w:tc>
        <w:tc>
          <w:tcPr>
            <w:tcW w:w="6390" w:type="dxa"/>
            <w:vAlign w:val="center"/>
          </w:tcPr>
          <w:p w14:paraId="7BEEADBA" w14:textId="7D97E09A" w:rsidR="003E1839" w:rsidRPr="00315CE0" w:rsidRDefault="001811E4" w:rsidP="604C6CA9">
            <w:pPr>
              <w:ind w:left="0"/>
              <w:rPr>
                <w:b/>
                <w:bCs/>
              </w:rPr>
            </w:pPr>
            <w:r w:rsidRPr="00315CE0">
              <w:rPr>
                <w:b/>
                <w:bCs/>
              </w:rPr>
              <w:t xml:space="preserve">July 2020 meeting </w:t>
            </w:r>
            <w:r w:rsidR="000B15A2" w:rsidRPr="00315CE0">
              <w:rPr>
                <w:b/>
                <w:bCs/>
              </w:rPr>
              <w:t>–</w:t>
            </w:r>
            <w:r w:rsidRPr="00315CE0">
              <w:rPr>
                <w:b/>
                <w:bCs/>
              </w:rPr>
              <w:t xml:space="preserve"> Minneapolis</w:t>
            </w:r>
          </w:p>
          <w:p w14:paraId="35725AE4" w14:textId="531CA2A5" w:rsidR="000B15A2" w:rsidRDefault="000B15A2" w:rsidP="604C6CA9">
            <w:pPr>
              <w:ind w:left="0"/>
            </w:pPr>
            <w:r>
              <w:t>The BOC discussed the possibility of a virtual meeting, but will keep options open until early May.</w:t>
            </w:r>
            <w:r w:rsidR="009355C0">
              <w:t xml:space="preserve"> Affirmed dates of July 21-23, 2020 (up to three days if needed)</w:t>
            </w:r>
          </w:p>
          <w:p w14:paraId="0C988383" w14:textId="5BAC535D" w:rsidR="00315CE0" w:rsidRDefault="00315CE0" w:rsidP="604C6CA9">
            <w:pPr>
              <w:ind w:left="0"/>
            </w:pPr>
            <w:r>
              <w:t>Noted that there are several site visits scheduled for April/May that will not proceed as planned – recommend the following:</w:t>
            </w:r>
          </w:p>
          <w:p w14:paraId="7D07096C" w14:textId="67D6DCB6" w:rsidR="00315CE0" w:rsidRDefault="00315CE0" w:rsidP="00315CE0">
            <w:pPr>
              <w:pStyle w:val="ListParagraph"/>
              <w:numPr>
                <w:ilvl w:val="0"/>
                <w:numId w:val="9"/>
              </w:numPr>
            </w:pPr>
            <w:r>
              <w:t>Lindsey Wilson – may use virtual site visit</w:t>
            </w:r>
          </w:p>
          <w:p w14:paraId="38DE1852" w14:textId="509B9DEA" w:rsidR="00315CE0" w:rsidRDefault="00315CE0" w:rsidP="00315CE0">
            <w:pPr>
              <w:pStyle w:val="ListParagraph"/>
              <w:numPr>
                <w:ilvl w:val="0"/>
                <w:numId w:val="9"/>
              </w:numPr>
            </w:pPr>
            <w:r>
              <w:t>University of New York – Prague – may use virtual visit</w:t>
            </w:r>
          </w:p>
          <w:p w14:paraId="40BFF859" w14:textId="714DC8BE" w:rsidR="00315CE0" w:rsidRDefault="00315CE0" w:rsidP="00315CE0">
            <w:pPr>
              <w:pStyle w:val="ListParagraph"/>
              <w:numPr>
                <w:ilvl w:val="0"/>
                <w:numId w:val="9"/>
              </w:numPr>
            </w:pPr>
            <w:r>
              <w:t>Chaminade University – reschedule for face-to-face visit</w:t>
            </w:r>
          </w:p>
          <w:p w14:paraId="501B128A" w14:textId="7BD95E0B" w:rsidR="00315CE0" w:rsidRDefault="00315CE0" w:rsidP="00315CE0">
            <w:pPr>
              <w:pStyle w:val="ListParagraph"/>
              <w:numPr>
                <w:ilvl w:val="0"/>
                <w:numId w:val="9"/>
              </w:numPr>
            </w:pPr>
            <w:r>
              <w:t>Sage College – originally required face-to-face visit – email vote conducted to allow virtual visit – approved</w:t>
            </w:r>
          </w:p>
          <w:p w14:paraId="433EEBC4" w14:textId="631B7018" w:rsidR="00315CE0" w:rsidRDefault="00315CE0" w:rsidP="00315CE0">
            <w:pPr>
              <w:pStyle w:val="ListParagraph"/>
              <w:numPr>
                <w:ilvl w:val="0"/>
                <w:numId w:val="9"/>
              </w:numPr>
            </w:pPr>
            <w:r>
              <w:t>UBIS – reschedule for face-to-face visit</w:t>
            </w:r>
          </w:p>
          <w:p w14:paraId="26114F1D" w14:textId="2EA82A94" w:rsidR="00315CE0" w:rsidRDefault="00315CE0" w:rsidP="00315CE0">
            <w:pPr>
              <w:pStyle w:val="ListParagraph"/>
              <w:numPr>
                <w:ilvl w:val="0"/>
                <w:numId w:val="9"/>
              </w:numPr>
            </w:pPr>
            <w:r>
              <w:t>Alliance University - reschedule for face-to-face visit</w:t>
            </w:r>
          </w:p>
          <w:p w14:paraId="2D3F55B1" w14:textId="6EAC0367" w:rsidR="001811E4" w:rsidRPr="00315CE0" w:rsidRDefault="001811E4" w:rsidP="604C6CA9">
            <w:pPr>
              <w:ind w:left="0"/>
              <w:rPr>
                <w:b/>
                <w:bCs/>
              </w:rPr>
            </w:pPr>
            <w:r w:rsidRPr="00315CE0">
              <w:rPr>
                <w:b/>
                <w:bCs/>
              </w:rPr>
              <w:t>December 2020/January 2021 meeting – Orlando</w:t>
            </w:r>
          </w:p>
          <w:p w14:paraId="580B6640" w14:textId="5DB5DBEF" w:rsidR="000B15A2" w:rsidRDefault="000B15A2" w:rsidP="604C6CA9">
            <w:pPr>
              <w:ind w:left="0"/>
            </w:pPr>
            <w:r>
              <w:t xml:space="preserve">Informed the BOC that the current fall site visit schedule includes reaffirmation visits for 20-24 institutions. </w:t>
            </w:r>
            <w:r w:rsidR="009355C0">
              <w:t>Tentatively s</w:t>
            </w:r>
            <w:r>
              <w:t>et the meeting date</w:t>
            </w:r>
            <w:r w:rsidR="009355C0">
              <w:t>s</w:t>
            </w:r>
            <w:r>
              <w:t xml:space="preserve"> for </w:t>
            </w:r>
            <w:r w:rsidR="009355C0">
              <w:t>January 18-20, 2021 (up to three days if needed)</w:t>
            </w:r>
          </w:p>
          <w:p w14:paraId="035FA999" w14:textId="1EB5D464" w:rsidR="001811E4" w:rsidRPr="00315CE0" w:rsidRDefault="001811E4" w:rsidP="604C6CA9">
            <w:pPr>
              <w:ind w:left="0"/>
              <w:rPr>
                <w:b/>
                <w:bCs/>
              </w:rPr>
            </w:pPr>
            <w:r w:rsidRPr="00315CE0">
              <w:rPr>
                <w:b/>
                <w:bCs/>
              </w:rPr>
              <w:t xml:space="preserve">April 2021 meeting </w:t>
            </w:r>
            <w:r w:rsidR="009355C0" w:rsidRPr="00315CE0">
              <w:rPr>
                <w:b/>
                <w:bCs/>
              </w:rPr>
              <w:t>–</w:t>
            </w:r>
            <w:r w:rsidRPr="00315CE0">
              <w:rPr>
                <w:b/>
                <w:bCs/>
              </w:rPr>
              <w:t xml:space="preserve"> Orlando</w:t>
            </w:r>
          </w:p>
          <w:p w14:paraId="11FFCD4F" w14:textId="4A211B5F" w:rsidR="009355C0" w:rsidRPr="003D1C2D" w:rsidRDefault="009355C0" w:rsidP="604C6CA9">
            <w:pPr>
              <w:ind w:left="0"/>
            </w:pPr>
            <w:r>
              <w:t>Affirmed dates of April 12-13, 2021</w:t>
            </w:r>
          </w:p>
        </w:tc>
        <w:tc>
          <w:tcPr>
            <w:tcW w:w="2533" w:type="dxa"/>
          </w:tcPr>
          <w:p w14:paraId="1D741995" w14:textId="7323FB01" w:rsidR="003E1839" w:rsidRPr="003D1C2D" w:rsidRDefault="003E1839" w:rsidP="604C6CA9">
            <w:pPr>
              <w:ind w:left="0"/>
            </w:pPr>
          </w:p>
        </w:tc>
      </w:tr>
      <w:tr w:rsidR="00AF36B1" w:rsidRPr="00EF4879" w14:paraId="77B9AB37" w14:textId="77777777" w:rsidTr="00E263C3">
        <w:trPr>
          <w:trHeight w:val="288"/>
          <w:jc w:val="center"/>
        </w:trPr>
        <w:tc>
          <w:tcPr>
            <w:tcW w:w="447" w:type="dxa"/>
            <w:tcMar>
              <w:left w:w="0" w:type="dxa"/>
              <w:right w:w="0" w:type="dxa"/>
            </w:tcMar>
            <w:vAlign w:val="center"/>
          </w:tcPr>
          <w:p w14:paraId="3422F592" w14:textId="71AA2AD8" w:rsidR="00AF36B1" w:rsidRPr="003D1C2D" w:rsidRDefault="00DD317D" w:rsidP="56ACD58B">
            <w:pPr>
              <w:spacing w:line="259" w:lineRule="auto"/>
              <w:ind w:left="0"/>
              <w:jc w:val="center"/>
            </w:pPr>
            <w:r>
              <w:t>3</w:t>
            </w:r>
            <w:r w:rsidR="004563A9">
              <w:t>1</w:t>
            </w:r>
          </w:p>
        </w:tc>
        <w:tc>
          <w:tcPr>
            <w:tcW w:w="6390" w:type="dxa"/>
            <w:vAlign w:val="center"/>
          </w:tcPr>
          <w:p w14:paraId="3E2B0CA6" w14:textId="77777777" w:rsidR="00AF36B1" w:rsidRPr="00634A88" w:rsidRDefault="003C13D0" w:rsidP="003E1839">
            <w:pPr>
              <w:ind w:left="0"/>
            </w:pPr>
            <w:r w:rsidRPr="00634A88">
              <w:t>Other business</w:t>
            </w:r>
          </w:p>
          <w:p w14:paraId="28665CF5" w14:textId="77777777" w:rsidR="00AF0921" w:rsidRPr="00634A88" w:rsidRDefault="604C6CA9" w:rsidP="00AF0921">
            <w:pPr>
              <w:pStyle w:val="ListParagraph"/>
              <w:numPr>
                <w:ilvl w:val="0"/>
                <w:numId w:val="7"/>
              </w:numPr>
              <w:tabs>
                <w:tab w:val="left" w:pos="900"/>
              </w:tabs>
              <w:ind w:left="360"/>
              <w:rPr>
                <w:rFonts w:ascii="Arial" w:eastAsia="Times New Roman" w:hAnsi="Arial" w:cs="Arial"/>
                <w:iCs/>
                <w:sz w:val="20"/>
                <w:szCs w:val="20"/>
              </w:rPr>
            </w:pPr>
            <w:r w:rsidRPr="00634A88">
              <w:rPr>
                <w:b/>
                <w:bCs/>
              </w:rPr>
              <w:t>Site team “grading” rubric for BOC form</w:t>
            </w:r>
            <w:r w:rsidR="00A52991" w:rsidRPr="00634A88">
              <w:br/>
              <w:t>requested staff to revise the drop-down response menus and add the form to the end of the BOC review form</w:t>
            </w:r>
          </w:p>
          <w:p w14:paraId="75100B8D" w14:textId="3C0B0D37" w:rsidR="00AF0921" w:rsidRPr="00AF0921" w:rsidRDefault="604C6CA9" w:rsidP="00AF0921">
            <w:pPr>
              <w:pStyle w:val="ListParagraph"/>
              <w:numPr>
                <w:ilvl w:val="0"/>
                <w:numId w:val="7"/>
              </w:numPr>
              <w:tabs>
                <w:tab w:val="left" w:pos="900"/>
              </w:tabs>
              <w:ind w:left="360"/>
              <w:rPr>
                <w:rFonts w:eastAsia="Times New Roman" w:cstheme="minorHAnsi"/>
                <w:iCs/>
                <w:color w:val="FF0000"/>
              </w:rPr>
            </w:pPr>
            <w:r w:rsidRPr="00634A88">
              <w:rPr>
                <w:rFonts w:cstheme="minorHAnsi"/>
                <w:b/>
                <w:bCs/>
              </w:rPr>
              <w:t>Should schools submit syllabi for business courses</w:t>
            </w:r>
            <w:r w:rsidR="001811E4" w:rsidRPr="00634A88">
              <w:rPr>
                <w:rFonts w:cstheme="minorHAnsi"/>
                <w:b/>
                <w:bCs/>
              </w:rPr>
              <w:t>?</w:t>
            </w:r>
            <w:r w:rsidR="00A52991" w:rsidRPr="00634A88">
              <w:rPr>
                <w:rFonts w:cstheme="minorHAnsi"/>
              </w:rPr>
              <w:br/>
            </w:r>
            <w:r w:rsidR="00AF0921" w:rsidRPr="00634A88">
              <w:rPr>
                <w:rFonts w:cstheme="minorHAnsi"/>
              </w:rPr>
              <w:t>Add to Principle 4.1 #1 to read:</w:t>
            </w:r>
            <w:r w:rsidR="00AF0921" w:rsidRPr="00634A88">
              <w:rPr>
                <w:rFonts w:cstheme="minorHAnsi"/>
              </w:rPr>
              <w:br/>
            </w:r>
            <w:r w:rsidR="00AF0921" w:rsidRPr="00634A88">
              <w:rPr>
                <w:rFonts w:eastAsia="Times New Roman" w:cstheme="minorHAnsi"/>
                <w:iCs/>
              </w:rPr>
              <w:t xml:space="preserve">This </w:t>
            </w:r>
            <w:r w:rsidR="00AF0921" w:rsidRPr="00AF0921">
              <w:rPr>
                <w:rFonts w:eastAsia="Times New Roman" w:cstheme="minorHAnsi"/>
                <w:iCs/>
                <w:color w:val="000000"/>
              </w:rPr>
              <w:t xml:space="preserve">information should take the form of a curriculum sheet or a listing of all courses comprising each program </w:t>
            </w:r>
            <w:r w:rsidR="00AF0921" w:rsidRPr="00AF0921">
              <w:rPr>
                <w:rFonts w:eastAsia="Times New Roman" w:cstheme="minorHAnsi"/>
                <w:iCs/>
                <w:color w:val="FF0000"/>
              </w:rPr>
              <w:t>and a copy of the current syllabus for each course that comprises the core curriculum for the program as listed in the Business Technical Knowledge table for undergraduate programs or as identified as core curriculum upon which the outcomes assessment plan is based.</w:t>
            </w:r>
            <w:r w:rsidR="00AF0921">
              <w:rPr>
                <w:rFonts w:eastAsia="Times New Roman" w:cstheme="minorHAnsi"/>
                <w:iCs/>
                <w:color w:val="FF0000"/>
              </w:rPr>
              <w:br/>
            </w:r>
            <w:r w:rsidR="00AF0921" w:rsidRPr="00634A88">
              <w:rPr>
                <w:rFonts w:eastAsia="Times New Roman" w:cstheme="minorHAnsi"/>
                <w:iCs/>
              </w:rPr>
              <w:t>Moved and seconded to make the change – motion passed</w:t>
            </w:r>
          </w:p>
          <w:p w14:paraId="49EED31D" w14:textId="22FC0773" w:rsidR="00286588" w:rsidRDefault="003D1C2D" w:rsidP="00AF0921">
            <w:pPr>
              <w:pStyle w:val="ListParagraph"/>
              <w:numPr>
                <w:ilvl w:val="0"/>
                <w:numId w:val="7"/>
              </w:numPr>
              <w:ind w:left="330"/>
            </w:pPr>
            <w:r w:rsidRPr="00AF0921">
              <w:rPr>
                <w:b/>
                <w:bCs/>
              </w:rPr>
              <w:t>Should institutions that are not substantially meeting the ISLOs be required to report results/progress annually?</w:t>
            </w:r>
            <w:r w:rsidR="00AF0921">
              <w:br/>
              <w:t>Move to July 2020 meeting for further discussion</w:t>
            </w:r>
          </w:p>
          <w:p w14:paraId="4EAB104D" w14:textId="7F83B93E" w:rsidR="003D1C2D" w:rsidRDefault="003D1C2D" w:rsidP="00AF0921">
            <w:pPr>
              <w:pStyle w:val="ListParagraph"/>
              <w:numPr>
                <w:ilvl w:val="0"/>
                <w:numId w:val="7"/>
              </w:numPr>
              <w:ind w:left="330"/>
            </w:pPr>
            <w:r w:rsidRPr="00AF0921">
              <w:rPr>
                <w:b/>
                <w:bCs/>
              </w:rPr>
              <w:t>Should we post or require institutions to post IQAR?</w:t>
            </w:r>
            <w:r w:rsidR="00AF0921" w:rsidRPr="00AF0921">
              <w:rPr>
                <w:b/>
                <w:bCs/>
              </w:rPr>
              <w:br/>
            </w:r>
            <w:r w:rsidR="00AF0921">
              <w:t>Review CHEA requirements that might lead to this, continue discussion at July 2020 meeting.</w:t>
            </w:r>
          </w:p>
          <w:p w14:paraId="734B9490" w14:textId="3C7F30E1" w:rsidR="003D1C2D" w:rsidRDefault="003D1C2D" w:rsidP="00AF0921">
            <w:pPr>
              <w:pStyle w:val="ListParagraph"/>
              <w:numPr>
                <w:ilvl w:val="0"/>
                <w:numId w:val="7"/>
              </w:numPr>
              <w:ind w:left="330"/>
            </w:pPr>
            <w:r w:rsidRPr="00AF0921">
              <w:rPr>
                <w:b/>
                <w:bCs/>
              </w:rPr>
              <w:t>Should institutions be required to include progress in achieving the action items identified in the self-study in the IQAR?</w:t>
            </w:r>
            <w:r w:rsidR="00AF0921">
              <w:br/>
              <w:t>Request staff to propose wording to include in the IQAR so that institutions include information on progress in achieving action items – continue discussion at July 2020 meeting.</w:t>
            </w:r>
          </w:p>
          <w:p w14:paraId="2CB1C5C5" w14:textId="76830CD0" w:rsidR="003D1C2D" w:rsidRPr="00AF0921" w:rsidRDefault="003D1C2D" w:rsidP="00AF0921">
            <w:pPr>
              <w:pStyle w:val="ListParagraph"/>
              <w:numPr>
                <w:ilvl w:val="0"/>
                <w:numId w:val="7"/>
              </w:numPr>
              <w:ind w:left="330"/>
              <w:rPr>
                <w:b/>
                <w:bCs/>
              </w:rPr>
            </w:pPr>
            <w:r w:rsidRPr="00AF0921">
              <w:rPr>
                <w:b/>
                <w:bCs/>
              </w:rPr>
              <w:t>Guidelines for requirement to attend Accreditation Institute prior to candidacy/first-time accreditation/reaffirmation</w:t>
            </w:r>
          </w:p>
          <w:p w14:paraId="1C8F890B" w14:textId="2B7A7621" w:rsidR="00AF0921" w:rsidRDefault="00AF0921" w:rsidP="00AF0921">
            <w:pPr>
              <w:pStyle w:val="ListParagraph"/>
              <w:ind w:left="330"/>
            </w:pPr>
            <w:r>
              <w:t>Request staff to propose wording to clarify requirement for attendance at Accr Inst as part of the accreditation process.</w:t>
            </w:r>
          </w:p>
          <w:p w14:paraId="3C33B7FB" w14:textId="3A4FA0FB" w:rsidR="001811E4" w:rsidRPr="003D1C2D" w:rsidRDefault="001811E4" w:rsidP="00AF0921">
            <w:pPr>
              <w:pStyle w:val="ListParagraph"/>
              <w:numPr>
                <w:ilvl w:val="0"/>
                <w:numId w:val="7"/>
              </w:numPr>
              <w:ind w:left="330"/>
            </w:pPr>
            <w:r w:rsidRPr="004B257B">
              <w:rPr>
                <w:b/>
                <w:bCs/>
              </w:rPr>
              <w:lastRenderedPageBreak/>
              <w:t xml:space="preserve">Request that staff </w:t>
            </w:r>
            <w:bookmarkStart w:id="0" w:name="_Hlk37765635"/>
            <w:r w:rsidRPr="004B257B">
              <w:rPr>
                <w:b/>
                <w:bCs/>
              </w:rPr>
              <w:t>revise the BOC Policies Manual to align with the IACBE Bylaws (approved April 10, 2019) and to recommend any additional revisions to accurately reflect current practice</w:t>
            </w:r>
            <w:r>
              <w:t xml:space="preserve"> </w:t>
            </w:r>
            <w:bookmarkEnd w:id="0"/>
            <w:r>
              <w:t xml:space="preserve">– Review/approval by BOC </w:t>
            </w:r>
            <w:r w:rsidR="00E263C3">
              <w:t xml:space="preserve">at </w:t>
            </w:r>
            <w:r>
              <w:t>July 2020 meeting.</w:t>
            </w:r>
          </w:p>
        </w:tc>
        <w:tc>
          <w:tcPr>
            <w:tcW w:w="2533" w:type="dxa"/>
            <w:vAlign w:val="center"/>
          </w:tcPr>
          <w:p w14:paraId="6CC59ABE" w14:textId="77777777" w:rsidR="00146005" w:rsidRPr="003D1C2D" w:rsidRDefault="00146005" w:rsidP="003E1839">
            <w:pPr>
              <w:ind w:left="0"/>
            </w:pPr>
          </w:p>
          <w:p w14:paraId="2725FF23" w14:textId="77E94F66" w:rsidR="00B714B4" w:rsidRPr="003D1C2D" w:rsidRDefault="00B714B4" w:rsidP="00315CE0">
            <w:pPr>
              <w:ind w:left="0"/>
            </w:pPr>
          </w:p>
        </w:tc>
      </w:tr>
      <w:tr w:rsidR="003A31BA" w:rsidRPr="00EF4879" w14:paraId="096F31EF" w14:textId="77777777" w:rsidTr="604C6CA9">
        <w:trPr>
          <w:cantSplit/>
          <w:trHeight w:val="288"/>
          <w:jc w:val="center"/>
        </w:trPr>
        <w:tc>
          <w:tcPr>
            <w:tcW w:w="447" w:type="dxa"/>
            <w:tcMar>
              <w:left w:w="0" w:type="dxa"/>
              <w:right w:w="0" w:type="dxa"/>
            </w:tcMar>
            <w:vAlign w:val="center"/>
          </w:tcPr>
          <w:p w14:paraId="4DF42E9C" w14:textId="685E8467" w:rsidR="003A31BA" w:rsidRDefault="004563A9" w:rsidP="003E1839">
            <w:pPr>
              <w:ind w:left="0"/>
              <w:jc w:val="center"/>
            </w:pPr>
            <w:r>
              <w:t>32</w:t>
            </w:r>
          </w:p>
        </w:tc>
        <w:tc>
          <w:tcPr>
            <w:tcW w:w="6390" w:type="dxa"/>
            <w:vAlign w:val="center"/>
          </w:tcPr>
          <w:p w14:paraId="2BAD06FE" w14:textId="19F0B5DB" w:rsidR="003A31BA" w:rsidRPr="00D90D2A" w:rsidRDefault="003A31BA" w:rsidP="003E1839">
            <w:pPr>
              <w:ind w:left="0"/>
            </w:pPr>
            <w:r>
              <w:t>Executive Session</w:t>
            </w:r>
          </w:p>
        </w:tc>
        <w:tc>
          <w:tcPr>
            <w:tcW w:w="2533" w:type="dxa"/>
            <w:vAlign w:val="center"/>
          </w:tcPr>
          <w:p w14:paraId="27F1FC77" w14:textId="77777777" w:rsidR="003A31BA" w:rsidRDefault="003A31BA" w:rsidP="003E1839">
            <w:pPr>
              <w:ind w:left="0"/>
            </w:pPr>
          </w:p>
        </w:tc>
      </w:tr>
      <w:tr w:rsidR="003E1839" w:rsidRPr="00EF4879" w14:paraId="791E16B0" w14:textId="77777777" w:rsidTr="604C6CA9">
        <w:trPr>
          <w:cantSplit/>
          <w:trHeight w:val="288"/>
          <w:jc w:val="center"/>
        </w:trPr>
        <w:tc>
          <w:tcPr>
            <w:tcW w:w="447" w:type="dxa"/>
            <w:tcMar>
              <w:left w:w="0" w:type="dxa"/>
              <w:right w:w="0" w:type="dxa"/>
            </w:tcMar>
            <w:vAlign w:val="center"/>
          </w:tcPr>
          <w:p w14:paraId="2813F184" w14:textId="6282BD99" w:rsidR="003E1839" w:rsidRPr="00D90D2A" w:rsidRDefault="001811E4" w:rsidP="003E1839">
            <w:pPr>
              <w:ind w:left="0"/>
              <w:jc w:val="center"/>
            </w:pPr>
            <w:r>
              <w:t>3</w:t>
            </w:r>
            <w:r w:rsidR="004563A9">
              <w:t>3</w:t>
            </w:r>
          </w:p>
        </w:tc>
        <w:tc>
          <w:tcPr>
            <w:tcW w:w="6390" w:type="dxa"/>
            <w:vAlign w:val="center"/>
          </w:tcPr>
          <w:p w14:paraId="2025201C" w14:textId="77777777" w:rsidR="003E1839" w:rsidRPr="00D90D2A" w:rsidRDefault="003E1839" w:rsidP="003E1839">
            <w:pPr>
              <w:ind w:left="0"/>
            </w:pPr>
            <w:r w:rsidRPr="00D90D2A">
              <w:t>Adjournment</w:t>
            </w:r>
          </w:p>
        </w:tc>
        <w:tc>
          <w:tcPr>
            <w:tcW w:w="2533" w:type="dxa"/>
            <w:vAlign w:val="center"/>
          </w:tcPr>
          <w:p w14:paraId="4B4D8CC4" w14:textId="278A50A8" w:rsidR="003E1839" w:rsidRPr="00EF4879" w:rsidRDefault="003C13D0" w:rsidP="003E1839">
            <w:pPr>
              <w:ind w:left="0"/>
            </w:pPr>
            <w:r>
              <w:t>Hafford</w:t>
            </w:r>
          </w:p>
        </w:tc>
      </w:tr>
    </w:tbl>
    <w:p w14:paraId="125955D3" w14:textId="206E51E7" w:rsidR="00FF6E67" w:rsidRDefault="00FF6E67" w:rsidP="00643B50">
      <w:pPr>
        <w:ind w:left="0"/>
      </w:pPr>
    </w:p>
    <w:p w14:paraId="4348D459" w14:textId="5C073478" w:rsidR="002264F7" w:rsidRDefault="002264F7" w:rsidP="00643B50">
      <w:pPr>
        <w:ind w:left="0"/>
      </w:pPr>
    </w:p>
    <w:p w14:paraId="72E311A1" w14:textId="2B81FEF4" w:rsidR="00E263C3" w:rsidRDefault="00E263C3">
      <w:pPr>
        <w:sectPr w:rsidR="00E263C3" w:rsidSect="00812EEE">
          <w:footerReference w:type="default" r:id="rId9"/>
          <w:pgSz w:w="12240" w:h="15840" w:code="1"/>
          <w:pgMar w:top="1152" w:right="1440" w:bottom="864" w:left="1440" w:header="720" w:footer="576" w:gutter="0"/>
          <w:pgBorders w:offsetFrom="page">
            <w:top w:val="single" w:sz="18" w:space="24" w:color="002060"/>
            <w:left w:val="single" w:sz="18" w:space="24" w:color="002060"/>
            <w:bottom w:val="single" w:sz="18" w:space="24" w:color="002060"/>
            <w:right w:val="single" w:sz="18" w:space="24" w:color="002060"/>
          </w:pgBorders>
          <w:cols w:space="720"/>
          <w:docGrid w:linePitch="360"/>
        </w:sectPr>
      </w:pPr>
    </w:p>
    <w:p w14:paraId="4766D9C0" w14:textId="77777777" w:rsidR="00BD2835" w:rsidRPr="00075028" w:rsidRDefault="00BD2835" w:rsidP="00BD2835">
      <w:pPr>
        <w:jc w:val="center"/>
        <w:rPr>
          <w:b/>
          <w:sz w:val="28"/>
          <w:szCs w:val="28"/>
        </w:rPr>
      </w:pPr>
      <w:r w:rsidRPr="00075028">
        <w:rPr>
          <w:b/>
          <w:sz w:val="28"/>
          <w:szCs w:val="28"/>
        </w:rPr>
        <w:lastRenderedPageBreak/>
        <w:t>REVIEW OF COMMISSIONERS’ ACCREDITATION DECISIONS</w:t>
      </w:r>
      <w:r>
        <w:rPr>
          <w:b/>
          <w:sz w:val="28"/>
          <w:szCs w:val="28"/>
        </w:rPr>
        <w:t xml:space="preserve"> – BUSINESS ACCREDITATION</w:t>
      </w:r>
    </w:p>
    <w:p w14:paraId="4FBC72F1" w14:textId="77777777" w:rsidR="00BD2835" w:rsidRPr="00A96422" w:rsidRDefault="00BD2835" w:rsidP="00BD2835">
      <w:pPr>
        <w:jc w:val="center"/>
        <w:rPr>
          <w:b/>
        </w:rPr>
      </w:pPr>
      <w:r>
        <w:rPr>
          <w:b/>
          <w:sz w:val="24"/>
          <w:szCs w:val="24"/>
        </w:rPr>
        <w:t>March 30-31, 2020 Virtual</w:t>
      </w:r>
      <w:r w:rsidRPr="00852529">
        <w:rPr>
          <w:b/>
          <w:sz w:val="24"/>
          <w:szCs w:val="24"/>
        </w:rPr>
        <w:br/>
      </w:r>
    </w:p>
    <w:tbl>
      <w:tblPr>
        <w:tblStyle w:val="TableGrid"/>
        <w:tblW w:w="131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left w:w="0" w:type="dxa"/>
          <w:right w:w="0" w:type="dxa"/>
        </w:tblCellMar>
        <w:tblLook w:val="04A0" w:firstRow="1" w:lastRow="0" w:firstColumn="1" w:lastColumn="0" w:noHBand="0" w:noVBand="1"/>
      </w:tblPr>
      <w:tblGrid>
        <w:gridCol w:w="4403"/>
        <w:gridCol w:w="654"/>
        <w:gridCol w:w="654"/>
        <w:gridCol w:w="654"/>
        <w:gridCol w:w="654"/>
        <w:gridCol w:w="654"/>
        <w:gridCol w:w="654"/>
        <w:gridCol w:w="654"/>
        <w:gridCol w:w="654"/>
        <w:gridCol w:w="654"/>
        <w:gridCol w:w="654"/>
        <w:gridCol w:w="654"/>
        <w:gridCol w:w="654"/>
        <w:gridCol w:w="918"/>
      </w:tblGrid>
      <w:tr w:rsidR="00BD2835" w:rsidRPr="00F37658" w14:paraId="132A218B" w14:textId="77777777" w:rsidTr="00BD2835">
        <w:trPr>
          <w:trHeight w:val="432"/>
          <w:tblHeader/>
          <w:jc w:val="center"/>
        </w:trPr>
        <w:tc>
          <w:tcPr>
            <w:tcW w:w="4403" w:type="dxa"/>
            <w:tcBorders>
              <w:top w:val="single" w:sz="12" w:space="0" w:color="000000" w:themeColor="text1"/>
              <w:bottom w:val="single" w:sz="12" w:space="0" w:color="000000" w:themeColor="text1"/>
              <w:right w:val="single" w:sz="12" w:space="0" w:color="000000" w:themeColor="text1"/>
            </w:tcBorders>
            <w:shd w:val="clear" w:color="auto" w:fill="DBE5F1" w:themeFill="accent1" w:themeFillTint="33"/>
            <w:tcMar>
              <w:top w:w="0" w:type="dxa"/>
              <w:left w:w="0" w:type="dxa"/>
              <w:bottom w:w="0" w:type="dxa"/>
              <w:right w:w="0" w:type="dxa"/>
            </w:tcMar>
            <w:vAlign w:val="center"/>
          </w:tcPr>
          <w:p w14:paraId="0B925960" w14:textId="77777777" w:rsidR="00BD2835" w:rsidRPr="0086761B" w:rsidRDefault="00BD2835" w:rsidP="00BD2835">
            <w:pPr>
              <w:jc w:val="center"/>
              <w:rPr>
                <w:rFonts w:cs="Times New Roman"/>
                <w:b/>
              </w:rPr>
            </w:pPr>
            <w:r w:rsidRPr="0086761B">
              <w:rPr>
                <w:rFonts w:cs="Times New Roman"/>
                <w:b/>
              </w:rPr>
              <w:t>Accreditation Principle</w:t>
            </w:r>
          </w:p>
        </w:tc>
        <w:tc>
          <w:tcPr>
            <w:tcW w:w="654" w:type="dxa"/>
            <w:tcBorders>
              <w:top w:val="single" w:sz="12" w:space="0" w:color="000000" w:themeColor="text1"/>
              <w:left w:val="single" w:sz="12" w:space="0" w:color="000000" w:themeColor="text1"/>
              <w:bottom w:val="single" w:sz="12" w:space="0" w:color="000000" w:themeColor="text1"/>
              <w:right w:val="single" w:sz="4" w:space="0" w:color="000000" w:themeColor="text1"/>
            </w:tcBorders>
            <w:shd w:val="clear" w:color="auto" w:fill="DBE5F1" w:themeFill="accent1" w:themeFillTint="33"/>
            <w:tcMar>
              <w:top w:w="0" w:type="dxa"/>
              <w:left w:w="0" w:type="dxa"/>
              <w:bottom w:w="0" w:type="dxa"/>
              <w:right w:w="0" w:type="dxa"/>
            </w:tcMar>
            <w:vAlign w:val="center"/>
          </w:tcPr>
          <w:p w14:paraId="087B78D7" w14:textId="77777777" w:rsidR="00BD2835" w:rsidRPr="0086761B" w:rsidRDefault="00BD2835" w:rsidP="00BD2835">
            <w:pPr>
              <w:jc w:val="center"/>
              <w:rPr>
                <w:b/>
                <w:bCs/>
              </w:rPr>
            </w:pPr>
            <w:r>
              <w:rPr>
                <w:b/>
                <w:bCs/>
              </w:rPr>
              <w:t>GLA</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DBE5F1" w:themeFill="accent1" w:themeFillTint="33"/>
            <w:vAlign w:val="center"/>
          </w:tcPr>
          <w:p w14:paraId="03D79618" w14:textId="77777777" w:rsidR="00BD2835" w:rsidRPr="0086761B" w:rsidRDefault="00BD2835" w:rsidP="00BD2835">
            <w:pPr>
              <w:jc w:val="center"/>
              <w:rPr>
                <w:b/>
                <w:bCs/>
              </w:rPr>
            </w:pPr>
            <w:r>
              <w:rPr>
                <w:b/>
                <w:bCs/>
              </w:rPr>
              <w:t>RIC</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DBE5F1" w:themeFill="accent1" w:themeFillTint="33"/>
            <w:vAlign w:val="center"/>
          </w:tcPr>
          <w:p w14:paraId="00A5BCDD" w14:textId="77777777" w:rsidR="00BD2835" w:rsidRPr="0086761B" w:rsidRDefault="00BD2835" w:rsidP="00BD2835">
            <w:pPr>
              <w:jc w:val="center"/>
              <w:rPr>
                <w:b/>
                <w:bCs/>
              </w:rPr>
            </w:pPr>
            <w:r>
              <w:rPr>
                <w:b/>
                <w:bCs/>
              </w:rPr>
              <w:t>TSIU</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DBE5F1" w:themeFill="accent1" w:themeFillTint="33"/>
            <w:vAlign w:val="center"/>
          </w:tcPr>
          <w:p w14:paraId="714B08DA" w14:textId="77777777" w:rsidR="00BD2835" w:rsidRPr="0086761B" w:rsidRDefault="00BD2835" w:rsidP="00BD2835">
            <w:pPr>
              <w:jc w:val="center"/>
              <w:rPr>
                <w:b/>
                <w:bCs/>
              </w:rPr>
            </w:pPr>
            <w:r>
              <w:rPr>
                <w:b/>
                <w:bCs/>
              </w:rPr>
              <w:t>AIMS</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DBE5F1" w:themeFill="accent1" w:themeFillTint="33"/>
            <w:vAlign w:val="center"/>
          </w:tcPr>
          <w:p w14:paraId="669F9798" w14:textId="77777777" w:rsidR="00BD2835" w:rsidRPr="0086761B" w:rsidRDefault="00BD2835" w:rsidP="00BD2835">
            <w:pPr>
              <w:jc w:val="center"/>
              <w:rPr>
                <w:b/>
                <w:bCs/>
              </w:rPr>
            </w:pPr>
            <w:r>
              <w:rPr>
                <w:b/>
                <w:bCs/>
              </w:rPr>
              <w:t>FSU</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DBE5F1" w:themeFill="accent1" w:themeFillTint="33"/>
            <w:vAlign w:val="center"/>
          </w:tcPr>
          <w:p w14:paraId="1387861A" w14:textId="77777777" w:rsidR="00BD2835" w:rsidRPr="0086761B" w:rsidRDefault="00BD2835" w:rsidP="00BD2835">
            <w:pPr>
              <w:jc w:val="center"/>
              <w:rPr>
                <w:b/>
                <w:bCs/>
              </w:rPr>
            </w:pPr>
            <w:r>
              <w:rPr>
                <w:b/>
                <w:bCs/>
              </w:rPr>
              <w:t>SWS</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DBE5F1" w:themeFill="accent1" w:themeFillTint="33"/>
            <w:vAlign w:val="center"/>
          </w:tcPr>
          <w:p w14:paraId="51304BCA" w14:textId="77777777" w:rsidR="00BD2835" w:rsidRPr="0086761B" w:rsidRDefault="00BD2835" w:rsidP="00BD2835">
            <w:pPr>
              <w:jc w:val="center"/>
              <w:rPr>
                <w:b/>
                <w:bCs/>
              </w:rPr>
            </w:pP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DBE5F1" w:themeFill="accent1" w:themeFillTint="33"/>
            <w:vAlign w:val="center"/>
          </w:tcPr>
          <w:p w14:paraId="44D87500" w14:textId="77777777" w:rsidR="00BD2835" w:rsidRPr="0086761B" w:rsidRDefault="00BD2835" w:rsidP="00BD2835">
            <w:pPr>
              <w:jc w:val="center"/>
              <w:rPr>
                <w:b/>
                <w:bCs/>
              </w:rPr>
            </w:pP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DBE5F1" w:themeFill="accent1" w:themeFillTint="33"/>
            <w:vAlign w:val="center"/>
          </w:tcPr>
          <w:p w14:paraId="3F0D5B10" w14:textId="77777777" w:rsidR="00BD2835" w:rsidRPr="0086761B" w:rsidRDefault="00BD2835" w:rsidP="00BD2835">
            <w:pPr>
              <w:jc w:val="center"/>
              <w:rPr>
                <w:b/>
                <w:bCs/>
              </w:rPr>
            </w:pPr>
            <w:r>
              <w:rPr>
                <w:b/>
                <w:bCs/>
              </w:rPr>
              <w:t>USF*</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DBE5F1" w:themeFill="accent1" w:themeFillTint="33"/>
            <w:vAlign w:val="center"/>
          </w:tcPr>
          <w:p w14:paraId="7E6B5B63" w14:textId="77777777" w:rsidR="00BD2835" w:rsidRPr="0086761B" w:rsidRDefault="00BD2835" w:rsidP="00BD2835">
            <w:pPr>
              <w:jc w:val="center"/>
              <w:rPr>
                <w:b/>
                <w:bCs/>
              </w:rPr>
            </w:pPr>
            <w:r>
              <w:rPr>
                <w:b/>
                <w:bCs/>
              </w:rPr>
              <w:t>GU*</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DBE5F1" w:themeFill="accent1" w:themeFillTint="33"/>
            <w:vAlign w:val="center"/>
          </w:tcPr>
          <w:p w14:paraId="779DD85A" w14:textId="77777777" w:rsidR="00BD2835" w:rsidRPr="0086761B" w:rsidRDefault="00BD2835" w:rsidP="00BD2835">
            <w:pPr>
              <w:jc w:val="center"/>
              <w:rPr>
                <w:b/>
                <w:bCs/>
              </w:rPr>
            </w:pP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DBE5F1" w:themeFill="accent1" w:themeFillTint="33"/>
            <w:vAlign w:val="center"/>
          </w:tcPr>
          <w:p w14:paraId="7D81EA67" w14:textId="77777777" w:rsidR="00BD2835" w:rsidRPr="0086761B" w:rsidRDefault="00BD2835" w:rsidP="00BD2835">
            <w:pPr>
              <w:jc w:val="center"/>
              <w:rPr>
                <w:b/>
                <w:bCs/>
              </w:rPr>
            </w:pPr>
          </w:p>
        </w:tc>
        <w:tc>
          <w:tcPr>
            <w:tcW w:w="918" w:type="dxa"/>
            <w:tcBorders>
              <w:top w:val="single" w:sz="12" w:space="0" w:color="000000" w:themeColor="text1"/>
              <w:left w:val="single" w:sz="12" w:space="0" w:color="000000" w:themeColor="text1"/>
              <w:bottom w:val="single" w:sz="12" w:space="0" w:color="000000" w:themeColor="text1"/>
            </w:tcBorders>
            <w:shd w:val="clear" w:color="auto" w:fill="DBE5F1" w:themeFill="accent1" w:themeFillTint="33"/>
            <w:tcMar>
              <w:left w:w="0" w:type="dxa"/>
              <w:right w:w="0" w:type="dxa"/>
            </w:tcMar>
            <w:vAlign w:val="center"/>
          </w:tcPr>
          <w:p w14:paraId="7C0A7F67" w14:textId="77777777" w:rsidR="00BD2835" w:rsidRPr="0086761B" w:rsidRDefault="00BD2835" w:rsidP="00BD2835">
            <w:pPr>
              <w:jc w:val="center"/>
              <w:rPr>
                <w:b/>
                <w:bCs/>
              </w:rPr>
            </w:pPr>
            <w:r w:rsidRPr="0086761B">
              <w:rPr>
                <w:b/>
                <w:bCs/>
              </w:rPr>
              <w:t>Totals</w:t>
            </w:r>
          </w:p>
          <w:p w14:paraId="39C69AB7" w14:textId="77777777" w:rsidR="00BD2835" w:rsidRPr="0086761B" w:rsidRDefault="00BD2835" w:rsidP="00BD2835">
            <w:pPr>
              <w:jc w:val="center"/>
              <w:rPr>
                <w:b/>
                <w:bCs/>
              </w:rPr>
            </w:pPr>
            <w:r w:rsidRPr="0086761B">
              <w:rPr>
                <w:b/>
                <w:bCs/>
              </w:rPr>
              <w:t>(N/O)</w:t>
            </w:r>
          </w:p>
        </w:tc>
      </w:tr>
      <w:tr w:rsidR="00BD2835" w:rsidRPr="00F37658" w14:paraId="4A024B7B" w14:textId="77777777" w:rsidTr="00BD2835">
        <w:trPr>
          <w:jc w:val="center"/>
        </w:trPr>
        <w:tc>
          <w:tcPr>
            <w:tcW w:w="4403" w:type="dxa"/>
            <w:tcBorders>
              <w:top w:val="single" w:sz="12"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52559AC6" w14:textId="5B605423" w:rsidR="00BD2835" w:rsidRPr="00C60A12" w:rsidRDefault="00BD2835" w:rsidP="00BD2835">
            <w:pPr>
              <w:jc w:val="center"/>
              <w:rPr>
                <w:sz w:val="18"/>
                <w:szCs w:val="18"/>
              </w:rPr>
            </w:pPr>
            <w:r>
              <w:rPr>
                <w:sz w:val="18"/>
                <w:szCs w:val="18"/>
              </w:rPr>
              <w:t>Organizat</w:t>
            </w:r>
            <w:r w:rsidR="00634A88">
              <w:rPr>
                <w:sz w:val="18"/>
                <w:szCs w:val="18"/>
              </w:rPr>
              <w:t>io</w:t>
            </w:r>
            <w:r>
              <w:rPr>
                <w:sz w:val="18"/>
                <w:szCs w:val="18"/>
              </w:rPr>
              <w:t>nal and Programmatic Profile</w:t>
            </w:r>
          </w:p>
        </w:tc>
        <w:tc>
          <w:tcPr>
            <w:tcW w:w="654"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391F907F" w14:textId="77777777" w:rsidR="00BD2835"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F72790" w14:textId="77777777" w:rsidR="00BD2835"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B58778" w14:textId="77777777" w:rsidR="00BD2835"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3D1ADD5C" w14:textId="77777777" w:rsidR="00BD2835"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AAF94C" w14:textId="77777777" w:rsidR="00BD2835"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2AC183" w14:textId="77777777" w:rsidR="00BD2835" w:rsidRDefault="00BD2835" w:rsidP="00BD2835">
            <w:pPr>
              <w:spacing w:before="60" w:after="60"/>
              <w:jc w:val="center"/>
              <w:rPr>
                <w:sz w:val="20"/>
                <w:szCs w:val="20"/>
              </w:rPr>
            </w:pPr>
            <w:r>
              <w:rPr>
                <w:sz w:val="20"/>
                <w:szCs w:val="20"/>
              </w:rPr>
              <w:t>N</w:t>
            </w: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4E7D75" w14:textId="77777777" w:rsidR="00BD2835"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2FB430" w14:textId="77777777" w:rsidR="00BD2835"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right w:val="single" w:sz="4" w:space="0" w:color="000000" w:themeColor="text1"/>
            </w:tcBorders>
            <w:shd w:val="clear" w:color="auto" w:fill="auto"/>
            <w:vAlign w:val="center"/>
          </w:tcPr>
          <w:p w14:paraId="4E20889A" w14:textId="77777777" w:rsidR="00BD2835"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right w:val="single" w:sz="4" w:space="0" w:color="000000" w:themeColor="text1"/>
            </w:tcBorders>
            <w:shd w:val="clear" w:color="auto" w:fill="auto"/>
            <w:vAlign w:val="center"/>
          </w:tcPr>
          <w:p w14:paraId="51255CD4" w14:textId="77777777" w:rsidR="00BD2835"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right w:val="single" w:sz="4" w:space="0" w:color="000000" w:themeColor="text1"/>
            </w:tcBorders>
            <w:shd w:val="clear" w:color="auto" w:fill="auto"/>
            <w:vAlign w:val="center"/>
          </w:tcPr>
          <w:p w14:paraId="21670589" w14:textId="77777777" w:rsidR="00BD2835"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right w:val="single" w:sz="4" w:space="0" w:color="000000" w:themeColor="text1"/>
            </w:tcBorders>
            <w:shd w:val="clear" w:color="auto" w:fill="auto"/>
            <w:vAlign w:val="center"/>
          </w:tcPr>
          <w:p w14:paraId="084C2E6B" w14:textId="77777777" w:rsidR="00BD2835" w:rsidRDefault="00BD2835" w:rsidP="00BD2835">
            <w:pPr>
              <w:spacing w:before="60" w:after="60"/>
              <w:jc w:val="center"/>
              <w:rPr>
                <w:sz w:val="20"/>
                <w:szCs w:val="20"/>
              </w:rPr>
            </w:pPr>
          </w:p>
        </w:tc>
        <w:tc>
          <w:tcPr>
            <w:tcW w:w="918" w:type="dxa"/>
            <w:tcBorders>
              <w:top w:val="single" w:sz="12" w:space="0" w:color="000000" w:themeColor="text1"/>
              <w:left w:val="single" w:sz="12" w:space="0" w:color="000000" w:themeColor="text1"/>
              <w:bottom w:val="single" w:sz="4" w:space="0" w:color="000000" w:themeColor="text1"/>
            </w:tcBorders>
            <w:vAlign w:val="center"/>
          </w:tcPr>
          <w:p w14:paraId="6D9D6395" w14:textId="77777777" w:rsidR="00BD2835" w:rsidRPr="00F37658" w:rsidRDefault="00BD2835" w:rsidP="00BD2835">
            <w:pPr>
              <w:spacing w:before="60" w:after="60"/>
              <w:jc w:val="center"/>
              <w:rPr>
                <w:sz w:val="20"/>
                <w:szCs w:val="20"/>
              </w:rPr>
            </w:pPr>
            <w:r>
              <w:rPr>
                <w:sz w:val="20"/>
                <w:szCs w:val="20"/>
              </w:rPr>
              <w:t>1/0</w:t>
            </w:r>
          </w:p>
        </w:tc>
      </w:tr>
      <w:tr w:rsidR="00BD2835" w:rsidRPr="00F37658" w14:paraId="64B3A679" w14:textId="77777777" w:rsidTr="00BD2835">
        <w:trPr>
          <w:jc w:val="center"/>
        </w:trPr>
        <w:tc>
          <w:tcPr>
            <w:tcW w:w="4403" w:type="dxa"/>
            <w:tcBorders>
              <w:top w:val="single" w:sz="12"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55168D5E" w14:textId="77777777" w:rsidR="00BD2835" w:rsidRPr="00C60A12" w:rsidRDefault="00BD2835" w:rsidP="00BD2835">
            <w:pPr>
              <w:jc w:val="center"/>
              <w:rPr>
                <w:sz w:val="18"/>
                <w:szCs w:val="18"/>
              </w:rPr>
            </w:pPr>
            <w:r>
              <w:rPr>
                <w:sz w:val="18"/>
                <w:szCs w:val="18"/>
              </w:rPr>
              <w:t>Achievement of Intended Student Learning Outcomes</w:t>
            </w:r>
          </w:p>
        </w:tc>
        <w:tc>
          <w:tcPr>
            <w:tcW w:w="654"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5D3A2743" w14:textId="77777777" w:rsidR="00BD2835"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01268F" w14:textId="77777777" w:rsidR="00BD2835"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310109" w14:textId="77777777" w:rsidR="00BD2835"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71017BE0" w14:textId="77777777" w:rsidR="00BD2835"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FA36C3" w14:textId="77777777" w:rsidR="00BD2835"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13B060" w14:textId="77777777" w:rsidR="00BD2835"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625566" w14:textId="77777777" w:rsidR="00BD2835"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731414" w14:textId="77777777" w:rsidR="00BD2835"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right w:val="single" w:sz="4" w:space="0" w:color="000000" w:themeColor="text1"/>
            </w:tcBorders>
            <w:shd w:val="clear" w:color="auto" w:fill="auto"/>
            <w:vAlign w:val="center"/>
          </w:tcPr>
          <w:p w14:paraId="54D61DEE" w14:textId="77777777" w:rsidR="00BD2835"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right w:val="single" w:sz="4" w:space="0" w:color="000000" w:themeColor="text1"/>
            </w:tcBorders>
            <w:shd w:val="clear" w:color="auto" w:fill="auto"/>
            <w:vAlign w:val="center"/>
          </w:tcPr>
          <w:p w14:paraId="3547050F" w14:textId="77777777" w:rsidR="00BD2835"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right w:val="single" w:sz="4" w:space="0" w:color="000000" w:themeColor="text1"/>
            </w:tcBorders>
            <w:shd w:val="clear" w:color="auto" w:fill="auto"/>
            <w:vAlign w:val="center"/>
          </w:tcPr>
          <w:p w14:paraId="0099E2E0" w14:textId="77777777" w:rsidR="00BD2835"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right w:val="single" w:sz="4" w:space="0" w:color="000000" w:themeColor="text1"/>
            </w:tcBorders>
            <w:shd w:val="clear" w:color="auto" w:fill="auto"/>
            <w:vAlign w:val="center"/>
          </w:tcPr>
          <w:p w14:paraId="2AA1575C" w14:textId="77777777" w:rsidR="00BD2835" w:rsidRDefault="00BD2835" w:rsidP="00BD2835">
            <w:pPr>
              <w:spacing w:before="60" w:after="60"/>
              <w:jc w:val="center"/>
              <w:rPr>
                <w:sz w:val="20"/>
                <w:szCs w:val="20"/>
              </w:rPr>
            </w:pPr>
          </w:p>
        </w:tc>
        <w:tc>
          <w:tcPr>
            <w:tcW w:w="918" w:type="dxa"/>
            <w:tcBorders>
              <w:top w:val="single" w:sz="12" w:space="0" w:color="000000" w:themeColor="text1"/>
              <w:left w:val="single" w:sz="12" w:space="0" w:color="000000" w:themeColor="text1"/>
              <w:bottom w:val="single" w:sz="4" w:space="0" w:color="000000" w:themeColor="text1"/>
            </w:tcBorders>
            <w:vAlign w:val="center"/>
          </w:tcPr>
          <w:p w14:paraId="0AA12FCE" w14:textId="77777777" w:rsidR="00BD2835" w:rsidRPr="00F37658" w:rsidRDefault="00BD2835" w:rsidP="00BD2835">
            <w:pPr>
              <w:spacing w:before="60" w:after="60"/>
              <w:jc w:val="center"/>
              <w:rPr>
                <w:sz w:val="20"/>
                <w:szCs w:val="20"/>
              </w:rPr>
            </w:pPr>
          </w:p>
        </w:tc>
      </w:tr>
      <w:tr w:rsidR="00BD2835" w:rsidRPr="00F37658" w14:paraId="45502F8E" w14:textId="77777777" w:rsidTr="00BD2835">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5B064DBA" w14:textId="77777777" w:rsidR="00BD2835" w:rsidRPr="00C60A12" w:rsidRDefault="00BD2835" w:rsidP="00BD2835">
            <w:pPr>
              <w:jc w:val="center"/>
              <w:rPr>
                <w:sz w:val="18"/>
                <w:szCs w:val="18"/>
              </w:rPr>
            </w:pPr>
            <w:r w:rsidRPr="00C60A12">
              <w:rPr>
                <w:sz w:val="18"/>
                <w:szCs w:val="18"/>
              </w:rPr>
              <w:t>1.1</w:t>
            </w:r>
          </w:p>
          <w:p w14:paraId="1BE0D1F5" w14:textId="77777777" w:rsidR="00BD2835" w:rsidRPr="00C60A12" w:rsidRDefault="00BD2835" w:rsidP="00BD2835">
            <w:pPr>
              <w:jc w:val="center"/>
              <w:rPr>
                <w:sz w:val="18"/>
                <w:szCs w:val="18"/>
              </w:rPr>
            </w:pPr>
            <w:r>
              <w:rPr>
                <w:sz w:val="18"/>
                <w:szCs w:val="18"/>
              </w:rPr>
              <w:t>Commitment to Integrity, Responsibility, and Ethical Behavior</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1AE3615F"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1B4A49" w14:textId="77777777" w:rsidR="00BD2835" w:rsidRPr="00F37658" w:rsidRDefault="00BD2835" w:rsidP="00BD2835">
            <w:pPr>
              <w:spacing w:before="60" w:after="60"/>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FDA504"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B063C5" w14:textId="77777777" w:rsidR="00BD2835" w:rsidRPr="00F37658" w:rsidRDefault="00BD2835" w:rsidP="00BD2835">
            <w:pPr>
              <w:spacing w:before="60" w:after="60"/>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F043D3" w14:textId="77777777" w:rsidR="00BD2835" w:rsidRPr="00F37658" w:rsidRDefault="00BD2835" w:rsidP="00BD2835">
            <w:pPr>
              <w:spacing w:before="60" w:after="60"/>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66C587" w14:textId="77777777" w:rsidR="00BD2835" w:rsidRPr="00F37658" w:rsidRDefault="00BD2835" w:rsidP="00BD2835">
            <w:pPr>
              <w:spacing w:before="60" w:after="60"/>
              <w:jc w:val="center"/>
              <w:rPr>
                <w:sz w:val="20"/>
                <w:szCs w:val="20"/>
              </w:rPr>
            </w:pPr>
            <w:r>
              <w:rPr>
                <w:sz w:val="20"/>
                <w:szCs w:val="20"/>
              </w:rPr>
              <w:t>N</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B497A5"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2A7958"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77E0E19"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9EF827E"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46DD219"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421D702" w14:textId="77777777" w:rsidR="00BD2835" w:rsidRPr="00F37658" w:rsidRDefault="00BD2835" w:rsidP="00BD2835">
            <w:pPr>
              <w:spacing w:before="60" w:after="60"/>
              <w:jc w:val="center"/>
              <w:rPr>
                <w:sz w:val="20"/>
                <w:szCs w:val="20"/>
              </w:rPr>
            </w:pPr>
          </w:p>
        </w:tc>
        <w:tc>
          <w:tcPr>
            <w:tcW w:w="918" w:type="dxa"/>
            <w:tcBorders>
              <w:top w:val="single" w:sz="4" w:space="0" w:color="000000" w:themeColor="text1"/>
              <w:left w:val="single" w:sz="12" w:space="0" w:color="000000" w:themeColor="text1"/>
            </w:tcBorders>
            <w:vAlign w:val="center"/>
          </w:tcPr>
          <w:p w14:paraId="61423DF8" w14:textId="77777777" w:rsidR="00BD2835" w:rsidRPr="00F37658" w:rsidRDefault="00BD2835" w:rsidP="00BD2835">
            <w:pPr>
              <w:spacing w:before="60" w:after="60"/>
              <w:jc w:val="center"/>
              <w:rPr>
                <w:sz w:val="20"/>
                <w:szCs w:val="20"/>
              </w:rPr>
            </w:pPr>
            <w:r>
              <w:rPr>
                <w:sz w:val="20"/>
                <w:szCs w:val="20"/>
              </w:rPr>
              <w:t>1/0</w:t>
            </w:r>
          </w:p>
        </w:tc>
      </w:tr>
      <w:tr w:rsidR="00BD2835" w:rsidRPr="00F37658" w14:paraId="3AE5AB78" w14:textId="77777777" w:rsidTr="00BD2835">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303D39F9" w14:textId="77777777" w:rsidR="00BD2835" w:rsidRPr="00C60A12" w:rsidRDefault="00BD2835" w:rsidP="00BD2835">
            <w:pPr>
              <w:jc w:val="center"/>
              <w:rPr>
                <w:sz w:val="18"/>
                <w:szCs w:val="18"/>
              </w:rPr>
            </w:pPr>
            <w:r w:rsidRPr="00C60A12">
              <w:rPr>
                <w:sz w:val="18"/>
                <w:szCs w:val="18"/>
              </w:rPr>
              <w:t>1.2</w:t>
            </w:r>
          </w:p>
          <w:p w14:paraId="37E5C1B3" w14:textId="77777777" w:rsidR="00BD2835" w:rsidRPr="00C60A12" w:rsidRDefault="00BD2835" w:rsidP="00BD2835">
            <w:pPr>
              <w:jc w:val="center"/>
              <w:rPr>
                <w:sz w:val="18"/>
                <w:szCs w:val="18"/>
              </w:rPr>
            </w:pPr>
            <w:r w:rsidRPr="00C60A12">
              <w:rPr>
                <w:sz w:val="18"/>
                <w:szCs w:val="18"/>
              </w:rPr>
              <w:t>Summary E</w:t>
            </w:r>
            <w:r>
              <w:rPr>
                <w:sz w:val="18"/>
                <w:szCs w:val="18"/>
              </w:rPr>
              <w:t>valuation Integrity, Responsibility, and Ethical Behavior</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0444CB5E"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3A98BB"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0237FF"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AE0FE"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064252"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2B19A9"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842203"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19C114"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F10FD00"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9C6AF95"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64AC505"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D74F4C7" w14:textId="77777777" w:rsidR="00BD2835" w:rsidRPr="00F37658"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0ADF7DB1" w14:textId="77777777" w:rsidR="00BD2835" w:rsidRPr="00F37658" w:rsidRDefault="00BD2835" w:rsidP="00BD2835">
            <w:pPr>
              <w:spacing w:before="60" w:after="60"/>
              <w:jc w:val="center"/>
              <w:rPr>
                <w:sz w:val="20"/>
                <w:szCs w:val="20"/>
              </w:rPr>
            </w:pPr>
          </w:p>
        </w:tc>
      </w:tr>
      <w:tr w:rsidR="00BD2835" w:rsidRPr="00F37658" w14:paraId="6C90D1CA" w14:textId="77777777" w:rsidTr="00BD2835">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17EFEEF7" w14:textId="77777777" w:rsidR="00BD2835" w:rsidRPr="00C60A12" w:rsidRDefault="00BD2835" w:rsidP="00BD2835">
            <w:pPr>
              <w:jc w:val="center"/>
              <w:rPr>
                <w:sz w:val="18"/>
                <w:szCs w:val="18"/>
              </w:rPr>
            </w:pPr>
            <w:r w:rsidRPr="00C60A12">
              <w:rPr>
                <w:sz w:val="18"/>
                <w:szCs w:val="18"/>
              </w:rPr>
              <w:t>2.1</w:t>
            </w:r>
          </w:p>
          <w:p w14:paraId="6AAF416F" w14:textId="77777777" w:rsidR="00BD2835" w:rsidRPr="00C60A12" w:rsidRDefault="00BD2835" w:rsidP="00BD2835">
            <w:pPr>
              <w:jc w:val="center"/>
              <w:rPr>
                <w:sz w:val="18"/>
                <w:szCs w:val="18"/>
              </w:rPr>
            </w:pPr>
            <w:r>
              <w:rPr>
                <w:sz w:val="18"/>
                <w:szCs w:val="18"/>
              </w:rPr>
              <w:t>Assessment Planning</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606E3902"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8DDAF6" w14:textId="77777777" w:rsidR="00BD2835" w:rsidRPr="00F37658" w:rsidRDefault="00BD2835" w:rsidP="00BD2835">
            <w:pPr>
              <w:spacing w:before="60" w:after="60"/>
              <w:jc w:val="center"/>
              <w:rPr>
                <w:sz w:val="20"/>
                <w:szCs w:val="20"/>
              </w:rPr>
            </w:pPr>
            <w:r>
              <w:rPr>
                <w:sz w:val="20"/>
                <w:szCs w:val="20"/>
              </w:rPr>
              <w:t>N</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161C63" w14:textId="77777777" w:rsidR="00BD2835" w:rsidRPr="00F37658" w:rsidRDefault="00BD2835" w:rsidP="00BD2835">
            <w:pPr>
              <w:spacing w:before="60" w:after="60"/>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4BAFBE" w14:textId="77777777" w:rsidR="00BD2835" w:rsidRPr="00F37658" w:rsidRDefault="00BD2835" w:rsidP="00BD2835">
            <w:pPr>
              <w:spacing w:before="60" w:after="60"/>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A20B8D"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A20DB1"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F42799"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A012C9"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FFDB31D"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2CD3062"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4C5F912"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9F0D65F" w14:textId="77777777" w:rsidR="00BD2835" w:rsidRPr="00F37658"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675CC224" w14:textId="77777777" w:rsidR="00BD2835" w:rsidRPr="00F37658" w:rsidRDefault="00BD2835" w:rsidP="00BD2835">
            <w:pPr>
              <w:spacing w:before="60" w:after="60"/>
              <w:jc w:val="center"/>
              <w:rPr>
                <w:sz w:val="20"/>
                <w:szCs w:val="20"/>
              </w:rPr>
            </w:pPr>
            <w:r>
              <w:rPr>
                <w:sz w:val="20"/>
                <w:szCs w:val="20"/>
              </w:rPr>
              <w:t>1/0</w:t>
            </w:r>
          </w:p>
        </w:tc>
      </w:tr>
      <w:tr w:rsidR="00BD2835" w:rsidRPr="00F37658" w14:paraId="1AD6A2DB" w14:textId="77777777" w:rsidTr="00BD2835">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0ACD361C" w14:textId="77777777" w:rsidR="00BD2835" w:rsidRPr="00C60A12" w:rsidRDefault="00BD2835" w:rsidP="00BD2835">
            <w:pPr>
              <w:jc w:val="center"/>
              <w:rPr>
                <w:sz w:val="18"/>
                <w:szCs w:val="18"/>
              </w:rPr>
            </w:pPr>
            <w:r w:rsidRPr="00C60A12">
              <w:rPr>
                <w:sz w:val="18"/>
                <w:szCs w:val="18"/>
              </w:rPr>
              <w:t>2.2</w:t>
            </w:r>
          </w:p>
          <w:p w14:paraId="7DA1903B" w14:textId="1988B967" w:rsidR="00BD2835" w:rsidRPr="00C60A12" w:rsidRDefault="00BD2835" w:rsidP="00BD2835">
            <w:pPr>
              <w:jc w:val="center"/>
              <w:rPr>
                <w:sz w:val="18"/>
                <w:szCs w:val="18"/>
              </w:rPr>
            </w:pPr>
            <w:r>
              <w:rPr>
                <w:sz w:val="18"/>
                <w:szCs w:val="18"/>
              </w:rPr>
              <w:t>Assessment of Student Learning and  Operational Effectiveness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3A273340"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E5F5FF"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1ADFA5"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02BCFF"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194672"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B06C04"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2C9ECF"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D53E60"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BC68DD0"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B3B5375" w14:textId="77777777" w:rsidR="00BD2835" w:rsidRDefault="00BD2835" w:rsidP="00BD2835">
            <w:pPr>
              <w:spacing w:before="60" w:after="60"/>
              <w:jc w:val="center"/>
              <w:rPr>
                <w:sz w:val="20"/>
                <w:szCs w:val="20"/>
              </w:rPr>
            </w:pPr>
            <w:r>
              <w:rPr>
                <w:sz w:val="20"/>
                <w:szCs w:val="20"/>
              </w:rPr>
              <w:t>N*</w:t>
            </w:r>
          </w:p>
          <w:p w14:paraId="6DFD82BF" w14:textId="77777777" w:rsidR="00BD2835" w:rsidRPr="00F37658" w:rsidRDefault="00BD2835" w:rsidP="00BD2835">
            <w:pPr>
              <w:spacing w:before="60" w:after="60"/>
              <w:jc w:val="center"/>
              <w:rPr>
                <w:sz w:val="20"/>
                <w:szCs w:val="20"/>
              </w:rPr>
            </w:pPr>
            <w:r>
              <w:rPr>
                <w:sz w:val="20"/>
                <w:szCs w:val="20"/>
              </w:rPr>
              <w:t>1.1</w:t>
            </w:r>
          </w:p>
        </w:tc>
        <w:tc>
          <w:tcPr>
            <w:tcW w:w="654" w:type="dxa"/>
            <w:tcBorders>
              <w:left w:val="single" w:sz="4" w:space="0" w:color="000000" w:themeColor="text1"/>
              <w:right w:val="single" w:sz="4" w:space="0" w:color="000000" w:themeColor="text1"/>
            </w:tcBorders>
            <w:shd w:val="clear" w:color="auto" w:fill="auto"/>
            <w:vAlign w:val="center"/>
          </w:tcPr>
          <w:p w14:paraId="318DD206"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8BEF4BE" w14:textId="77777777" w:rsidR="00BD2835" w:rsidRPr="00F37658"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40BFD838" w14:textId="77777777" w:rsidR="00BD2835" w:rsidRPr="00F37658" w:rsidRDefault="00BD2835" w:rsidP="00BD2835">
            <w:pPr>
              <w:spacing w:before="60" w:after="60"/>
              <w:jc w:val="center"/>
              <w:rPr>
                <w:sz w:val="20"/>
                <w:szCs w:val="20"/>
              </w:rPr>
            </w:pPr>
            <w:r>
              <w:rPr>
                <w:sz w:val="20"/>
                <w:szCs w:val="20"/>
              </w:rPr>
              <w:t>1/0</w:t>
            </w:r>
          </w:p>
        </w:tc>
      </w:tr>
      <w:tr w:rsidR="00BD2835" w:rsidRPr="00F37658" w14:paraId="2C06C6BD" w14:textId="77777777" w:rsidTr="00BD2835">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37325C1D" w14:textId="77777777" w:rsidR="00BD2835" w:rsidRDefault="00BD2835" w:rsidP="00BD2835">
            <w:pPr>
              <w:jc w:val="center"/>
              <w:rPr>
                <w:sz w:val="18"/>
                <w:szCs w:val="18"/>
              </w:rPr>
            </w:pPr>
            <w:r>
              <w:rPr>
                <w:sz w:val="18"/>
                <w:szCs w:val="18"/>
              </w:rPr>
              <w:t>2.3</w:t>
            </w:r>
          </w:p>
          <w:p w14:paraId="220492FD" w14:textId="77777777" w:rsidR="00BD2835" w:rsidRPr="00C60A12" w:rsidRDefault="00BD2835" w:rsidP="00BD2835">
            <w:pPr>
              <w:jc w:val="center"/>
              <w:rPr>
                <w:sz w:val="18"/>
                <w:szCs w:val="18"/>
              </w:rPr>
            </w:pPr>
            <w:r>
              <w:rPr>
                <w:sz w:val="18"/>
                <w:szCs w:val="18"/>
              </w:rPr>
              <w:t>Continuous Quality Improvement</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2487AE35"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32E6DF"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CFB4A8"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525AFC"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795A1A"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826824"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E21EF9"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CAED87"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407414A"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560876E"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3384EBE"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231A951" w14:textId="77777777" w:rsidR="00BD2835" w:rsidRPr="00F37658"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1639372F" w14:textId="77777777" w:rsidR="00BD2835" w:rsidRPr="00F37658" w:rsidRDefault="00BD2835" w:rsidP="00BD2835">
            <w:pPr>
              <w:spacing w:before="60" w:after="60"/>
              <w:jc w:val="center"/>
              <w:rPr>
                <w:sz w:val="20"/>
                <w:szCs w:val="20"/>
              </w:rPr>
            </w:pPr>
          </w:p>
        </w:tc>
      </w:tr>
      <w:tr w:rsidR="00BD2835" w:rsidRPr="00F37658" w14:paraId="39771045" w14:textId="77777777" w:rsidTr="00BD2835">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1B031123" w14:textId="77777777" w:rsidR="00BD2835" w:rsidRDefault="00BD2835" w:rsidP="00BD2835">
            <w:pPr>
              <w:jc w:val="center"/>
              <w:rPr>
                <w:sz w:val="18"/>
                <w:szCs w:val="18"/>
              </w:rPr>
            </w:pPr>
            <w:r>
              <w:rPr>
                <w:sz w:val="18"/>
                <w:szCs w:val="18"/>
              </w:rPr>
              <w:t>2.4</w:t>
            </w:r>
          </w:p>
          <w:p w14:paraId="5FB52256" w14:textId="77777777" w:rsidR="00BD2835" w:rsidRDefault="00BD2835" w:rsidP="00BD2835">
            <w:pPr>
              <w:jc w:val="center"/>
              <w:rPr>
                <w:sz w:val="18"/>
                <w:szCs w:val="18"/>
              </w:rPr>
            </w:pPr>
            <w:r>
              <w:rPr>
                <w:sz w:val="18"/>
                <w:szCs w:val="18"/>
              </w:rPr>
              <w:t>Summary Reflection on Quality Assessment and Advancement</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42F3270B"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2D96C2"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FD4813"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C2D233"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06CB71"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B76A85"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7E3A32"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8B7B63"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D095C07"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B1C7B4A"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EB2C4BD"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B324E11" w14:textId="77777777" w:rsidR="00BD2835" w:rsidRPr="00F37658"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03E9BFFD" w14:textId="77777777" w:rsidR="00BD2835" w:rsidRPr="00F37658" w:rsidRDefault="00BD2835" w:rsidP="00BD2835">
            <w:pPr>
              <w:spacing w:before="60" w:after="60"/>
              <w:jc w:val="center"/>
              <w:rPr>
                <w:sz w:val="20"/>
                <w:szCs w:val="20"/>
              </w:rPr>
            </w:pPr>
          </w:p>
        </w:tc>
      </w:tr>
      <w:tr w:rsidR="00BD2835" w:rsidRPr="00F37658" w14:paraId="3AB0DD66" w14:textId="77777777" w:rsidTr="00BD2835">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27B80C39" w14:textId="77777777" w:rsidR="00BD2835" w:rsidRPr="00C60A12" w:rsidRDefault="00BD2835" w:rsidP="00BD2835">
            <w:pPr>
              <w:jc w:val="center"/>
              <w:rPr>
                <w:sz w:val="18"/>
                <w:szCs w:val="18"/>
              </w:rPr>
            </w:pPr>
            <w:r w:rsidRPr="00C60A12">
              <w:rPr>
                <w:sz w:val="18"/>
                <w:szCs w:val="18"/>
              </w:rPr>
              <w:t>3.1</w:t>
            </w:r>
          </w:p>
          <w:p w14:paraId="5AB9A26C" w14:textId="77777777" w:rsidR="00BD2835" w:rsidRPr="00C60A12" w:rsidRDefault="00BD2835" w:rsidP="00BD2835">
            <w:pPr>
              <w:jc w:val="center"/>
              <w:rPr>
                <w:sz w:val="18"/>
                <w:szCs w:val="18"/>
              </w:rPr>
            </w:pPr>
            <w:r>
              <w:rPr>
                <w:sz w:val="18"/>
                <w:szCs w:val="18"/>
              </w:rPr>
              <w:t>Strategic Planning</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1E990086" w14:textId="77777777" w:rsidR="00BD2835" w:rsidRPr="00F37658" w:rsidRDefault="00BD2835" w:rsidP="00BD2835">
            <w:pPr>
              <w:spacing w:before="60" w:after="60"/>
              <w:jc w:val="center"/>
              <w:rPr>
                <w:sz w:val="20"/>
                <w:szCs w:val="20"/>
              </w:rPr>
            </w:pPr>
            <w:r>
              <w:rPr>
                <w:sz w:val="20"/>
                <w:szCs w:val="20"/>
              </w:rPr>
              <w:t>N</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B5CEBF"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C96CD2"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60A2CE" w14:textId="77777777" w:rsidR="00BD2835" w:rsidRPr="00F37658" w:rsidRDefault="00BD2835" w:rsidP="00BD2835">
            <w:pPr>
              <w:spacing w:before="60" w:after="60"/>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52B5F6"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1BABC2"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990205"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EF8422"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6ACF22E"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3D3A2C8"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918A4DB"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1792300" w14:textId="77777777" w:rsidR="00BD2835" w:rsidRPr="00F37658"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0F408EBF" w14:textId="77777777" w:rsidR="00BD2835" w:rsidRPr="00F37658" w:rsidRDefault="00BD2835" w:rsidP="00BD2835">
            <w:pPr>
              <w:spacing w:before="60" w:after="60"/>
              <w:jc w:val="center"/>
              <w:rPr>
                <w:sz w:val="20"/>
                <w:szCs w:val="20"/>
              </w:rPr>
            </w:pPr>
            <w:r>
              <w:rPr>
                <w:sz w:val="20"/>
                <w:szCs w:val="20"/>
              </w:rPr>
              <w:t>1/0</w:t>
            </w:r>
          </w:p>
        </w:tc>
      </w:tr>
      <w:tr w:rsidR="00BD2835" w:rsidRPr="00F37658" w14:paraId="11F79D2B" w14:textId="77777777" w:rsidTr="00BD2835">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2E2A6BBF" w14:textId="77777777" w:rsidR="00BD2835" w:rsidRPr="00C60A12" w:rsidRDefault="00BD2835" w:rsidP="00BD2835">
            <w:pPr>
              <w:jc w:val="center"/>
              <w:rPr>
                <w:sz w:val="18"/>
                <w:szCs w:val="18"/>
              </w:rPr>
            </w:pPr>
            <w:r w:rsidRPr="00C60A12">
              <w:rPr>
                <w:sz w:val="18"/>
                <w:szCs w:val="18"/>
              </w:rPr>
              <w:t>3.2</w:t>
            </w:r>
          </w:p>
          <w:p w14:paraId="2C744220" w14:textId="77777777" w:rsidR="00BD2835" w:rsidRPr="00C60A12" w:rsidRDefault="00BD2835" w:rsidP="00BD2835">
            <w:pPr>
              <w:jc w:val="center"/>
              <w:rPr>
                <w:sz w:val="18"/>
                <w:szCs w:val="18"/>
              </w:rPr>
            </w:pPr>
            <w:r>
              <w:rPr>
                <w:sz w:val="18"/>
                <w:szCs w:val="18"/>
              </w:rPr>
              <w:t>Summary Reflection on Strategic Planning</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031980E6"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729EAC"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3DD8EB"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B79531"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E33D96"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BE7396"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65485D"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5EFD3"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C1E5BE7"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3B87620"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6986EDC"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0E1C178" w14:textId="77777777" w:rsidR="00BD2835" w:rsidRPr="00F37658"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5FC7E060" w14:textId="77777777" w:rsidR="00BD2835" w:rsidRPr="00F37658" w:rsidRDefault="00BD2835" w:rsidP="00BD2835">
            <w:pPr>
              <w:spacing w:before="60" w:after="60"/>
              <w:jc w:val="center"/>
              <w:rPr>
                <w:sz w:val="20"/>
                <w:szCs w:val="20"/>
              </w:rPr>
            </w:pPr>
          </w:p>
        </w:tc>
      </w:tr>
      <w:tr w:rsidR="00BD2835" w:rsidRPr="00F37658" w14:paraId="002BAEA3" w14:textId="77777777" w:rsidTr="00BD2835">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63552960" w14:textId="77777777" w:rsidR="00BD2835" w:rsidRDefault="00BD2835" w:rsidP="00BD2835">
            <w:pPr>
              <w:jc w:val="center"/>
              <w:rPr>
                <w:sz w:val="18"/>
                <w:szCs w:val="18"/>
              </w:rPr>
            </w:pPr>
            <w:r>
              <w:rPr>
                <w:sz w:val="18"/>
                <w:szCs w:val="18"/>
              </w:rPr>
              <w:t>4.1</w:t>
            </w:r>
          </w:p>
          <w:p w14:paraId="55212EE7" w14:textId="77777777" w:rsidR="00BD2835" w:rsidRPr="00C60A12" w:rsidRDefault="00BD2835" w:rsidP="00BD2835">
            <w:pPr>
              <w:jc w:val="center"/>
              <w:rPr>
                <w:sz w:val="18"/>
                <w:szCs w:val="18"/>
              </w:rPr>
            </w:pPr>
            <w:r>
              <w:rPr>
                <w:sz w:val="18"/>
                <w:szCs w:val="18"/>
              </w:rPr>
              <w:t>Business Program Development and Design</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75112463" w14:textId="77777777" w:rsidR="00BD2835" w:rsidRPr="00F37658" w:rsidRDefault="00BD2835" w:rsidP="00BD2835">
            <w:pPr>
              <w:spacing w:before="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ADED51" w14:textId="77777777" w:rsidR="00BD2835" w:rsidRPr="00F37658" w:rsidRDefault="00BD2835" w:rsidP="00BD2835">
            <w:pPr>
              <w:spacing w:before="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75FFF1" w14:textId="77777777" w:rsidR="00BD2835" w:rsidRPr="00F37658" w:rsidRDefault="00BD2835" w:rsidP="00BD2835">
            <w:pPr>
              <w:spacing w:before="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E866EA" w14:textId="77777777" w:rsidR="00BD2835" w:rsidRPr="00F37658" w:rsidRDefault="00BD2835" w:rsidP="00BD2835">
            <w:pPr>
              <w:spacing w:before="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C0F8DA" w14:textId="77777777" w:rsidR="00BD2835" w:rsidRPr="00F37658" w:rsidRDefault="00BD2835" w:rsidP="00BD2835">
            <w:pPr>
              <w:spacing w:before="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176E81" w14:textId="77777777" w:rsidR="00BD2835" w:rsidRPr="00F37658" w:rsidRDefault="00BD2835" w:rsidP="00BD2835">
            <w:pPr>
              <w:spacing w:before="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F72440" w14:textId="77777777" w:rsidR="00BD2835" w:rsidRPr="00F37658" w:rsidRDefault="00BD2835" w:rsidP="00BD2835">
            <w:pPr>
              <w:spacing w:before="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369FD6" w14:textId="77777777" w:rsidR="00BD2835" w:rsidRPr="00F37658" w:rsidRDefault="00BD2835" w:rsidP="00BD2835">
            <w:pPr>
              <w:spacing w:before="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89EC6DD" w14:textId="77777777" w:rsidR="00BD2835" w:rsidRPr="00F37658" w:rsidRDefault="00BD2835" w:rsidP="00BD2835">
            <w:pPr>
              <w:spacing w:before="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E3FB1E6" w14:textId="77777777" w:rsidR="00BD2835" w:rsidRPr="00F37658" w:rsidRDefault="00BD2835" w:rsidP="00BD2835">
            <w:pPr>
              <w:spacing w:before="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C98A56F" w14:textId="77777777" w:rsidR="00BD2835" w:rsidRPr="00F37658" w:rsidRDefault="00BD2835" w:rsidP="00BD2835">
            <w:pPr>
              <w:spacing w:before="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70F8E36" w14:textId="77777777" w:rsidR="00BD2835" w:rsidRPr="00F37658" w:rsidRDefault="00BD2835" w:rsidP="00BD2835">
            <w:pPr>
              <w:spacing w:before="60"/>
              <w:jc w:val="center"/>
              <w:rPr>
                <w:sz w:val="20"/>
                <w:szCs w:val="20"/>
              </w:rPr>
            </w:pPr>
          </w:p>
        </w:tc>
        <w:tc>
          <w:tcPr>
            <w:tcW w:w="918" w:type="dxa"/>
            <w:tcBorders>
              <w:left w:val="single" w:sz="12" w:space="0" w:color="000000" w:themeColor="text1"/>
            </w:tcBorders>
            <w:vAlign w:val="center"/>
          </w:tcPr>
          <w:p w14:paraId="7ACF5CE5" w14:textId="77777777" w:rsidR="00BD2835" w:rsidRPr="00F37658" w:rsidRDefault="00BD2835" w:rsidP="00BD2835">
            <w:pPr>
              <w:spacing w:before="60" w:after="60"/>
              <w:jc w:val="center"/>
              <w:rPr>
                <w:sz w:val="20"/>
                <w:szCs w:val="20"/>
              </w:rPr>
            </w:pPr>
          </w:p>
        </w:tc>
      </w:tr>
      <w:tr w:rsidR="00BD2835" w:rsidRPr="00F37658" w14:paraId="44F55BFF" w14:textId="77777777" w:rsidTr="00BD2835">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26D756FE" w14:textId="77777777" w:rsidR="00BD2835" w:rsidRDefault="00BD2835" w:rsidP="00BD2835">
            <w:pPr>
              <w:jc w:val="center"/>
              <w:rPr>
                <w:sz w:val="18"/>
                <w:szCs w:val="18"/>
              </w:rPr>
            </w:pPr>
            <w:r>
              <w:rPr>
                <w:sz w:val="18"/>
                <w:szCs w:val="18"/>
              </w:rPr>
              <w:t>4.2</w:t>
            </w:r>
          </w:p>
          <w:p w14:paraId="2E311575" w14:textId="77777777" w:rsidR="00BD2835" w:rsidRPr="00C60A12" w:rsidRDefault="00BD2835" w:rsidP="00BD2835">
            <w:pPr>
              <w:jc w:val="center"/>
              <w:rPr>
                <w:sz w:val="18"/>
                <w:szCs w:val="18"/>
              </w:rPr>
            </w:pPr>
            <w:r>
              <w:rPr>
                <w:sz w:val="18"/>
                <w:szCs w:val="18"/>
              </w:rPr>
              <w:t>Curricula of Undergraduate-Level Business Programs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2C1100CC"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585D0A"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F614B0"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84656C"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33D6FE"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CBCABB"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2D3675"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8F0E21"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81DE9D9"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EA0E600"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DA4625F"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65E9E37" w14:textId="77777777" w:rsidR="00BD2835" w:rsidRPr="00F37658"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26E89DAA" w14:textId="77777777" w:rsidR="00BD2835" w:rsidRPr="00F37658" w:rsidRDefault="00BD2835" w:rsidP="00BD2835">
            <w:pPr>
              <w:spacing w:before="60" w:after="60"/>
              <w:jc w:val="center"/>
              <w:rPr>
                <w:sz w:val="20"/>
                <w:szCs w:val="20"/>
              </w:rPr>
            </w:pPr>
          </w:p>
        </w:tc>
      </w:tr>
      <w:tr w:rsidR="00BD2835" w:rsidRPr="00F37658" w14:paraId="20443E1D" w14:textId="77777777" w:rsidTr="00BD2835">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13D72C4B" w14:textId="77777777" w:rsidR="00BD2835" w:rsidRPr="00C60A12" w:rsidRDefault="00BD2835" w:rsidP="00BD2835">
            <w:pPr>
              <w:jc w:val="center"/>
              <w:rPr>
                <w:sz w:val="18"/>
                <w:szCs w:val="18"/>
              </w:rPr>
            </w:pPr>
            <w:r>
              <w:rPr>
                <w:sz w:val="18"/>
                <w:szCs w:val="18"/>
              </w:rPr>
              <w:t>4.3</w:t>
            </w:r>
          </w:p>
          <w:p w14:paraId="40CAE6E1" w14:textId="77777777" w:rsidR="00BD2835" w:rsidRPr="00C60A12" w:rsidRDefault="00BD2835" w:rsidP="00BD2835">
            <w:pPr>
              <w:jc w:val="center"/>
              <w:rPr>
                <w:sz w:val="18"/>
                <w:szCs w:val="18"/>
              </w:rPr>
            </w:pPr>
            <w:r>
              <w:rPr>
                <w:sz w:val="18"/>
                <w:szCs w:val="18"/>
              </w:rPr>
              <w:t>Curricula of Master’s-Level Business Programs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430810F7"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7FBBA8"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4EF365"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DC61F3"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A69593"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C4EA44"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5BFF94"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68B88B"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87C75ED"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9C4DF3C"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0B4EE58"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8286EDF" w14:textId="77777777" w:rsidR="00BD2835" w:rsidRPr="00F37658"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42325719" w14:textId="77777777" w:rsidR="00BD2835" w:rsidRPr="00F37658" w:rsidRDefault="00BD2835" w:rsidP="00BD2835">
            <w:pPr>
              <w:spacing w:before="60" w:after="60"/>
              <w:jc w:val="center"/>
              <w:rPr>
                <w:sz w:val="20"/>
                <w:szCs w:val="20"/>
              </w:rPr>
            </w:pPr>
          </w:p>
        </w:tc>
      </w:tr>
      <w:tr w:rsidR="00BD2835" w:rsidRPr="00F37658" w14:paraId="20DEF925" w14:textId="77777777" w:rsidTr="00BD2835">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750FA4D1" w14:textId="77777777" w:rsidR="00BD2835" w:rsidRPr="00C60A12" w:rsidRDefault="00BD2835" w:rsidP="00BD2835">
            <w:pPr>
              <w:jc w:val="center"/>
              <w:rPr>
                <w:sz w:val="18"/>
                <w:szCs w:val="18"/>
              </w:rPr>
            </w:pPr>
            <w:r>
              <w:rPr>
                <w:sz w:val="18"/>
                <w:szCs w:val="18"/>
              </w:rPr>
              <w:t>4.4</w:t>
            </w:r>
          </w:p>
          <w:p w14:paraId="7432CE4C" w14:textId="77777777" w:rsidR="00BD2835" w:rsidRPr="00C60A12" w:rsidRDefault="00BD2835" w:rsidP="00BD2835">
            <w:pPr>
              <w:jc w:val="center"/>
              <w:rPr>
                <w:sz w:val="18"/>
                <w:szCs w:val="18"/>
              </w:rPr>
            </w:pPr>
            <w:r>
              <w:rPr>
                <w:sz w:val="18"/>
                <w:szCs w:val="18"/>
              </w:rPr>
              <w:t>Curricula of Doctoral-Level Business Programs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5C213ADC"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DBF081"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A62B86"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E0A966"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CF5FE2"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9E32ED"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146F10"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F57ECB"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40E249C"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D9F600B"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6346B01"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3F9B324" w14:textId="77777777" w:rsidR="00BD2835" w:rsidRPr="00F37658"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4D5A6B9B" w14:textId="77777777" w:rsidR="00BD2835" w:rsidRPr="00F37658" w:rsidRDefault="00BD2835" w:rsidP="00BD2835">
            <w:pPr>
              <w:spacing w:before="60" w:after="60"/>
              <w:jc w:val="center"/>
              <w:rPr>
                <w:sz w:val="20"/>
                <w:szCs w:val="20"/>
              </w:rPr>
            </w:pPr>
          </w:p>
        </w:tc>
      </w:tr>
      <w:tr w:rsidR="00BD2835" w:rsidRPr="00F37658" w14:paraId="05D2A942" w14:textId="77777777" w:rsidTr="00BD2835">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2508C022" w14:textId="77777777" w:rsidR="00BD2835" w:rsidRPr="00C60A12" w:rsidRDefault="00BD2835" w:rsidP="00BD2835">
            <w:pPr>
              <w:jc w:val="center"/>
              <w:rPr>
                <w:sz w:val="18"/>
                <w:szCs w:val="18"/>
              </w:rPr>
            </w:pPr>
            <w:r>
              <w:rPr>
                <w:sz w:val="18"/>
                <w:szCs w:val="18"/>
              </w:rPr>
              <w:t>4.5</w:t>
            </w:r>
          </w:p>
          <w:p w14:paraId="5BBF9AF6" w14:textId="77777777" w:rsidR="00BD2835" w:rsidRPr="00C60A12" w:rsidRDefault="00BD2835" w:rsidP="00BD2835">
            <w:pPr>
              <w:jc w:val="center"/>
              <w:rPr>
                <w:sz w:val="18"/>
                <w:szCs w:val="18"/>
              </w:rPr>
            </w:pPr>
            <w:r>
              <w:rPr>
                <w:sz w:val="18"/>
                <w:szCs w:val="18"/>
              </w:rPr>
              <w:t>International Dimensions of Business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60A8BB90"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30683E"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1BDFB4"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61B351"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28E35E"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A78F25"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2B8457"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80C7DC"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4801CFD"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1E4D620"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2F756A8"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5C41404" w14:textId="77777777" w:rsidR="00BD2835" w:rsidRPr="00F37658"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2E40C502" w14:textId="77777777" w:rsidR="00BD2835" w:rsidRPr="00F37658" w:rsidRDefault="00BD2835" w:rsidP="00BD2835">
            <w:pPr>
              <w:spacing w:before="60" w:after="60"/>
              <w:jc w:val="center"/>
              <w:rPr>
                <w:sz w:val="20"/>
                <w:szCs w:val="20"/>
              </w:rPr>
            </w:pPr>
          </w:p>
        </w:tc>
      </w:tr>
      <w:tr w:rsidR="00BD2835" w:rsidRPr="00F37658" w14:paraId="13138BD3" w14:textId="77777777" w:rsidTr="00BD2835">
        <w:trPr>
          <w:trHeight w:val="309"/>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7DB4000C" w14:textId="77777777" w:rsidR="00BD2835" w:rsidRDefault="00BD2835" w:rsidP="00BD2835">
            <w:pPr>
              <w:jc w:val="center"/>
              <w:rPr>
                <w:sz w:val="18"/>
                <w:szCs w:val="18"/>
              </w:rPr>
            </w:pPr>
            <w:r>
              <w:rPr>
                <w:sz w:val="18"/>
                <w:szCs w:val="18"/>
              </w:rPr>
              <w:lastRenderedPageBreak/>
              <w:t>4.6</w:t>
            </w:r>
          </w:p>
          <w:p w14:paraId="7D72B99A" w14:textId="77777777" w:rsidR="00BD2835" w:rsidRDefault="00BD2835" w:rsidP="00BD2835">
            <w:pPr>
              <w:jc w:val="center"/>
              <w:rPr>
                <w:sz w:val="18"/>
                <w:szCs w:val="18"/>
              </w:rPr>
            </w:pPr>
            <w:r>
              <w:rPr>
                <w:sz w:val="18"/>
                <w:szCs w:val="18"/>
              </w:rPr>
              <w:t>Information Technology Skills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354742DB"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DC936B"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102AC3"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457232"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3AF600"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FC585C"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D68CB9"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E1841A"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295ACB0"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30ED493"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AFDCFD1"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61A322F" w14:textId="77777777" w:rsidR="00BD2835" w:rsidRPr="00F37658"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760403D2" w14:textId="77777777" w:rsidR="00BD2835" w:rsidRPr="00F37658" w:rsidRDefault="00BD2835" w:rsidP="00BD2835">
            <w:pPr>
              <w:spacing w:before="60" w:after="60"/>
              <w:jc w:val="center"/>
              <w:rPr>
                <w:sz w:val="20"/>
                <w:szCs w:val="20"/>
              </w:rPr>
            </w:pPr>
          </w:p>
        </w:tc>
      </w:tr>
      <w:tr w:rsidR="00BD2835" w:rsidRPr="00F37658" w14:paraId="5CDB533B" w14:textId="77777777" w:rsidTr="00BD2835">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6FE7CCEE" w14:textId="77777777" w:rsidR="00BD2835" w:rsidRPr="00C60A12" w:rsidRDefault="00BD2835" w:rsidP="00BD2835">
            <w:pPr>
              <w:jc w:val="center"/>
              <w:rPr>
                <w:sz w:val="18"/>
                <w:szCs w:val="18"/>
              </w:rPr>
            </w:pPr>
            <w:r w:rsidRPr="00C60A12">
              <w:rPr>
                <w:sz w:val="18"/>
                <w:szCs w:val="18"/>
              </w:rPr>
              <w:t>4.</w:t>
            </w:r>
            <w:r>
              <w:rPr>
                <w:sz w:val="18"/>
                <w:szCs w:val="18"/>
              </w:rPr>
              <w:t>7</w:t>
            </w:r>
          </w:p>
          <w:p w14:paraId="2AADB7E7" w14:textId="77777777" w:rsidR="00BD2835" w:rsidRPr="00C60A12" w:rsidRDefault="00BD2835" w:rsidP="00BD2835">
            <w:pPr>
              <w:jc w:val="center"/>
              <w:rPr>
                <w:sz w:val="18"/>
                <w:szCs w:val="18"/>
              </w:rPr>
            </w:pPr>
            <w:r>
              <w:rPr>
                <w:sz w:val="18"/>
                <w:szCs w:val="18"/>
              </w:rPr>
              <w:t>Curriculum Review, Renewal, and Improvement</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6574F30E"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9D4DA1"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B808C1"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34CA33"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3DEA8F"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5C363C"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995DCF"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B0A903"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E50B7A0"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9A13F4D"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A06666E"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29474A9" w14:textId="77777777" w:rsidR="00BD2835" w:rsidRPr="00F37658"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644C440B" w14:textId="77777777" w:rsidR="00BD2835" w:rsidRPr="00F37658" w:rsidRDefault="00BD2835" w:rsidP="00BD2835">
            <w:pPr>
              <w:spacing w:before="60" w:after="60"/>
              <w:jc w:val="center"/>
              <w:rPr>
                <w:sz w:val="20"/>
                <w:szCs w:val="20"/>
              </w:rPr>
            </w:pPr>
          </w:p>
        </w:tc>
      </w:tr>
      <w:tr w:rsidR="00BD2835" w:rsidRPr="00F37658" w14:paraId="2AEE0B30" w14:textId="77777777" w:rsidTr="00BD2835">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6514D439" w14:textId="77777777" w:rsidR="00BD2835" w:rsidRDefault="00BD2835" w:rsidP="00BD2835">
            <w:pPr>
              <w:jc w:val="center"/>
              <w:rPr>
                <w:sz w:val="18"/>
                <w:szCs w:val="18"/>
              </w:rPr>
            </w:pPr>
            <w:r>
              <w:rPr>
                <w:sz w:val="18"/>
                <w:szCs w:val="18"/>
              </w:rPr>
              <w:t>4.8</w:t>
            </w:r>
          </w:p>
          <w:p w14:paraId="6B1E8E15" w14:textId="77777777" w:rsidR="00BD2835" w:rsidRPr="00C60A12" w:rsidRDefault="00BD2835" w:rsidP="00BD2835">
            <w:pPr>
              <w:jc w:val="center"/>
              <w:rPr>
                <w:sz w:val="18"/>
                <w:szCs w:val="18"/>
              </w:rPr>
            </w:pPr>
            <w:r>
              <w:rPr>
                <w:sz w:val="18"/>
                <w:szCs w:val="18"/>
              </w:rPr>
              <w:t>Summary Reflection on Business Curricula and Learning Opportunities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0E3DB3BE"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253A17"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327BCA"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C3E2E7"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E48EB0"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42B673"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5E42AD"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30CC13"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611DE07"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67F8664"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553679F"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BBB0891" w14:textId="77777777" w:rsidR="00BD2835" w:rsidRPr="00F37658"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3144794B" w14:textId="77777777" w:rsidR="00BD2835" w:rsidRPr="00F37658" w:rsidRDefault="00BD2835" w:rsidP="00BD2835">
            <w:pPr>
              <w:spacing w:before="60" w:after="60"/>
              <w:jc w:val="center"/>
              <w:rPr>
                <w:sz w:val="20"/>
                <w:szCs w:val="20"/>
              </w:rPr>
            </w:pPr>
          </w:p>
        </w:tc>
      </w:tr>
      <w:tr w:rsidR="00BD2835" w:rsidRPr="00F37658" w14:paraId="3B554C6E" w14:textId="77777777" w:rsidTr="00BD2835">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092FFB38" w14:textId="77777777" w:rsidR="00BD2835" w:rsidRDefault="00BD2835" w:rsidP="00BD2835">
            <w:pPr>
              <w:jc w:val="center"/>
              <w:rPr>
                <w:sz w:val="18"/>
                <w:szCs w:val="18"/>
              </w:rPr>
            </w:pPr>
            <w:r>
              <w:rPr>
                <w:sz w:val="18"/>
                <w:szCs w:val="18"/>
              </w:rPr>
              <w:t>5.1</w:t>
            </w:r>
          </w:p>
          <w:p w14:paraId="10C55176" w14:textId="77777777" w:rsidR="00BD2835" w:rsidRDefault="00BD2835" w:rsidP="00BD2835">
            <w:pPr>
              <w:jc w:val="center"/>
              <w:rPr>
                <w:sz w:val="18"/>
                <w:szCs w:val="18"/>
              </w:rPr>
            </w:pPr>
            <w:r>
              <w:rPr>
                <w:sz w:val="18"/>
                <w:szCs w:val="18"/>
              </w:rPr>
              <w:t>Qualifications of Business Faculty</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7CD2E598"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BEEE3B"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C62A92"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5BF469"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BC4406" w14:textId="77777777" w:rsidR="00BD2835" w:rsidRPr="00F37658" w:rsidRDefault="00BD2835" w:rsidP="00BD2835">
            <w:pPr>
              <w:spacing w:before="60" w:after="60"/>
              <w:jc w:val="center"/>
              <w:rPr>
                <w:sz w:val="20"/>
                <w:szCs w:val="20"/>
              </w:rPr>
            </w:pPr>
            <w:r>
              <w:rPr>
                <w:sz w:val="20"/>
                <w:szCs w:val="20"/>
              </w:rPr>
              <w:t>N</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8A78E5"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4C8D15"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CD38B1"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A04C4E1"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401B8C4"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11A068D"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E7A36C7" w14:textId="77777777" w:rsidR="00BD2835" w:rsidRPr="00F37658"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519424D1" w14:textId="77777777" w:rsidR="00BD2835" w:rsidRPr="00F37658" w:rsidRDefault="00BD2835" w:rsidP="00BD2835">
            <w:pPr>
              <w:spacing w:before="60" w:after="60"/>
              <w:jc w:val="center"/>
              <w:rPr>
                <w:sz w:val="20"/>
                <w:szCs w:val="20"/>
              </w:rPr>
            </w:pPr>
            <w:r>
              <w:rPr>
                <w:sz w:val="20"/>
                <w:szCs w:val="20"/>
              </w:rPr>
              <w:t>1/0</w:t>
            </w:r>
          </w:p>
        </w:tc>
      </w:tr>
      <w:tr w:rsidR="00BD2835" w:rsidRPr="00F37658" w14:paraId="087CC7FC" w14:textId="77777777" w:rsidTr="00BD2835">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5261DE05" w14:textId="77777777" w:rsidR="00BD2835" w:rsidRPr="00C60A12" w:rsidRDefault="00BD2835" w:rsidP="00BD2835">
            <w:pPr>
              <w:jc w:val="center"/>
              <w:rPr>
                <w:sz w:val="18"/>
                <w:szCs w:val="18"/>
              </w:rPr>
            </w:pPr>
            <w:r>
              <w:rPr>
                <w:sz w:val="18"/>
                <w:szCs w:val="18"/>
              </w:rPr>
              <w:t>5.2</w:t>
            </w:r>
          </w:p>
          <w:p w14:paraId="0F8F394A" w14:textId="77777777" w:rsidR="00BD2835" w:rsidRPr="00C60A12" w:rsidRDefault="00BD2835" w:rsidP="00BD2835">
            <w:pPr>
              <w:jc w:val="center"/>
              <w:rPr>
                <w:sz w:val="18"/>
                <w:szCs w:val="18"/>
              </w:rPr>
            </w:pPr>
            <w:r>
              <w:rPr>
                <w:sz w:val="18"/>
                <w:szCs w:val="18"/>
              </w:rPr>
              <w:t>Deployment of Business Faculty</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04958CB3"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436712"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D618A5"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7C5C90"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F7EC5C"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335C6B"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6D23EE" w14:textId="77777777" w:rsidR="00BD2835" w:rsidRPr="00F37658"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0817A1"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77F8835"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2991187"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5422B55" w14:textId="77777777" w:rsidR="00BD2835" w:rsidRPr="00F37658"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68513B4" w14:textId="77777777" w:rsidR="00BD2835" w:rsidRPr="00F37658"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5A51A03A" w14:textId="77777777" w:rsidR="00BD2835" w:rsidRPr="00F37658" w:rsidRDefault="00BD2835" w:rsidP="00BD2835">
            <w:pPr>
              <w:spacing w:before="60" w:after="60"/>
              <w:jc w:val="center"/>
              <w:rPr>
                <w:sz w:val="20"/>
                <w:szCs w:val="20"/>
              </w:rPr>
            </w:pPr>
          </w:p>
        </w:tc>
      </w:tr>
      <w:tr w:rsidR="00BD2835" w:rsidRPr="00D753FF" w14:paraId="26E261C4" w14:textId="77777777" w:rsidTr="00BD2835">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3610CC24" w14:textId="77777777" w:rsidR="00BD2835" w:rsidRPr="00C60A12" w:rsidRDefault="00BD2835" w:rsidP="00BD2835">
            <w:pPr>
              <w:jc w:val="center"/>
              <w:rPr>
                <w:sz w:val="18"/>
                <w:szCs w:val="18"/>
              </w:rPr>
            </w:pPr>
            <w:r w:rsidRPr="00C60A12">
              <w:rPr>
                <w:sz w:val="18"/>
                <w:szCs w:val="18"/>
              </w:rPr>
              <w:t>5.</w:t>
            </w:r>
            <w:r>
              <w:rPr>
                <w:sz w:val="18"/>
                <w:szCs w:val="18"/>
              </w:rPr>
              <w:t>3</w:t>
            </w:r>
          </w:p>
          <w:p w14:paraId="3D744065" w14:textId="77777777" w:rsidR="00BD2835" w:rsidRPr="00C60A12" w:rsidRDefault="00BD2835" w:rsidP="00BD2835">
            <w:pPr>
              <w:jc w:val="center"/>
              <w:rPr>
                <w:sz w:val="18"/>
                <w:szCs w:val="18"/>
              </w:rPr>
            </w:pPr>
            <w:r w:rsidRPr="00C60A12">
              <w:rPr>
                <w:sz w:val="18"/>
                <w:szCs w:val="18"/>
              </w:rPr>
              <w:t>Scholarly and Professional Activities</w:t>
            </w:r>
            <w:r>
              <w:rPr>
                <w:sz w:val="18"/>
                <w:szCs w:val="18"/>
              </w:rPr>
              <w:t xml:space="preserve"> of Business Faculty</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2FD728D3"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460117"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A4B269"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5D4514"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2FEF6E"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00F64C"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F5A950"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6D2486"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C1F06F1"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D5A125C"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37F1FD9"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EF5AC28" w14:textId="77777777" w:rsidR="00BD2835" w:rsidRPr="00D753FF"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31DA830D" w14:textId="77777777" w:rsidR="00BD2835" w:rsidRPr="00D753FF" w:rsidRDefault="00BD2835" w:rsidP="00BD2835">
            <w:pPr>
              <w:spacing w:before="60" w:after="60"/>
              <w:jc w:val="center"/>
              <w:rPr>
                <w:sz w:val="20"/>
                <w:szCs w:val="20"/>
              </w:rPr>
            </w:pPr>
          </w:p>
        </w:tc>
      </w:tr>
      <w:tr w:rsidR="00BD2835" w:rsidRPr="00D753FF" w14:paraId="6C4F8C2F" w14:textId="77777777" w:rsidTr="00BD2835">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55CD6016" w14:textId="77777777" w:rsidR="00BD2835" w:rsidRDefault="00BD2835" w:rsidP="00BD2835">
            <w:pPr>
              <w:jc w:val="center"/>
              <w:rPr>
                <w:sz w:val="18"/>
                <w:szCs w:val="18"/>
              </w:rPr>
            </w:pPr>
            <w:r>
              <w:rPr>
                <w:sz w:val="18"/>
                <w:szCs w:val="18"/>
              </w:rPr>
              <w:t>5.4</w:t>
            </w:r>
          </w:p>
          <w:p w14:paraId="42EC1B90" w14:textId="77777777" w:rsidR="00BD2835" w:rsidRPr="00C60A12" w:rsidRDefault="00BD2835" w:rsidP="00BD2835">
            <w:pPr>
              <w:jc w:val="center"/>
              <w:rPr>
                <w:sz w:val="18"/>
                <w:szCs w:val="18"/>
              </w:rPr>
            </w:pPr>
            <w:r>
              <w:rPr>
                <w:sz w:val="18"/>
                <w:szCs w:val="18"/>
              </w:rPr>
              <w:t>Professional Development of Business Faculty</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76EA288B"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225668"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599BA4"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B49D78"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09FBF5"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13A70B"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FC1DF3"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15BBA8"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5CD07B5"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5AD5EE7"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71EADF1"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F03D136" w14:textId="77777777" w:rsidR="00BD2835" w:rsidRPr="00D753FF"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307DFC94" w14:textId="77777777" w:rsidR="00BD2835" w:rsidRPr="00D753FF" w:rsidRDefault="00BD2835" w:rsidP="00BD2835">
            <w:pPr>
              <w:spacing w:before="60" w:after="60"/>
              <w:jc w:val="center"/>
              <w:rPr>
                <w:sz w:val="20"/>
                <w:szCs w:val="20"/>
              </w:rPr>
            </w:pPr>
          </w:p>
        </w:tc>
      </w:tr>
      <w:tr w:rsidR="00BD2835" w:rsidRPr="00D753FF" w14:paraId="6B22EC54" w14:textId="77777777" w:rsidTr="00BD2835">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42C1DFC9" w14:textId="77777777" w:rsidR="00BD2835" w:rsidRPr="00C60A12" w:rsidRDefault="00BD2835" w:rsidP="00BD2835">
            <w:pPr>
              <w:jc w:val="center"/>
              <w:rPr>
                <w:sz w:val="18"/>
                <w:szCs w:val="18"/>
              </w:rPr>
            </w:pPr>
            <w:r w:rsidRPr="00C60A12">
              <w:rPr>
                <w:sz w:val="18"/>
                <w:szCs w:val="18"/>
              </w:rPr>
              <w:t>5.</w:t>
            </w:r>
            <w:r>
              <w:rPr>
                <w:sz w:val="18"/>
                <w:szCs w:val="18"/>
              </w:rPr>
              <w:t>5</w:t>
            </w:r>
          </w:p>
          <w:p w14:paraId="22B2ED79" w14:textId="77777777" w:rsidR="00BD2835" w:rsidRPr="00C60A12" w:rsidRDefault="00BD2835" w:rsidP="00BD2835">
            <w:pPr>
              <w:jc w:val="center"/>
              <w:rPr>
                <w:sz w:val="18"/>
                <w:szCs w:val="18"/>
              </w:rPr>
            </w:pPr>
            <w:r>
              <w:rPr>
                <w:sz w:val="18"/>
                <w:szCs w:val="18"/>
              </w:rPr>
              <w:t>Evaluation of Business Faculty</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454D116D"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A24D9A"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87DFF7"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A7EA77"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DA81A4"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AC4313"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960937"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EC709A"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3A893D2" w14:textId="77777777" w:rsidR="00BD2835" w:rsidRDefault="00BD2835" w:rsidP="00BD2835">
            <w:pPr>
              <w:spacing w:before="60" w:after="60"/>
              <w:jc w:val="center"/>
              <w:rPr>
                <w:sz w:val="20"/>
                <w:szCs w:val="20"/>
              </w:rPr>
            </w:pPr>
            <w:r>
              <w:rPr>
                <w:sz w:val="20"/>
                <w:szCs w:val="20"/>
              </w:rPr>
              <w:t>O*</w:t>
            </w:r>
          </w:p>
          <w:p w14:paraId="653BAAE4" w14:textId="77777777" w:rsidR="00BD2835" w:rsidRPr="00D753FF" w:rsidRDefault="00BD2835" w:rsidP="00BD2835">
            <w:pPr>
              <w:spacing w:before="60" w:after="60"/>
              <w:jc w:val="center"/>
              <w:rPr>
                <w:sz w:val="20"/>
                <w:szCs w:val="20"/>
              </w:rPr>
            </w:pPr>
            <w:r>
              <w:rPr>
                <w:sz w:val="20"/>
                <w:szCs w:val="20"/>
              </w:rPr>
              <w:t>4.5</w:t>
            </w:r>
          </w:p>
        </w:tc>
        <w:tc>
          <w:tcPr>
            <w:tcW w:w="654" w:type="dxa"/>
            <w:tcBorders>
              <w:left w:val="single" w:sz="4" w:space="0" w:color="000000" w:themeColor="text1"/>
              <w:right w:val="single" w:sz="4" w:space="0" w:color="000000" w:themeColor="text1"/>
            </w:tcBorders>
            <w:shd w:val="clear" w:color="auto" w:fill="auto"/>
            <w:vAlign w:val="center"/>
          </w:tcPr>
          <w:p w14:paraId="3D17D13C"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5C2AD8F"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8891AB9" w14:textId="77777777" w:rsidR="00BD2835" w:rsidRPr="00D753FF"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2ED2E188" w14:textId="77777777" w:rsidR="00BD2835" w:rsidRPr="00D753FF" w:rsidRDefault="00BD2835" w:rsidP="00BD2835">
            <w:pPr>
              <w:spacing w:before="60" w:after="60"/>
              <w:jc w:val="center"/>
              <w:rPr>
                <w:sz w:val="20"/>
                <w:szCs w:val="20"/>
              </w:rPr>
            </w:pPr>
            <w:r>
              <w:rPr>
                <w:sz w:val="20"/>
                <w:szCs w:val="20"/>
              </w:rPr>
              <w:t>0/1</w:t>
            </w:r>
          </w:p>
        </w:tc>
      </w:tr>
      <w:tr w:rsidR="00BD2835" w:rsidRPr="00D753FF" w14:paraId="42196127" w14:textId="77777777" w:rsidTr="00BD2835">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35D14F1F" w14:textId="77777777" w:rsidR="00BD2835" w:rsidRDefault="00BD2835" w:rsidP="00BD2835">
            <w:pPr>
              <w:jc w:val="center"/>
              <w:rPr>
                <w:sz w:val="18"/>
                <w:szCs w:val="18"/>
              </w:rPr>
            </w:pPr>
            <w:r>
              <w:rPr>
                <w:sz w:val="18"/>
                <w:szCs w:val="18"/>
              </w:rPr>
              <w:t>5.6</w:t>
            </w:r>
          </w:p>
          <w:p w14:paraId="39D534CD" w14:textId="77777777" w:rsidR="00BD2835" w:rsidRPr="00C60A12" w:rsidRDefault="00BD2835" w:rsidP="00BD2835">
            <w:pPr>
              <w:jc w:val="center"/>
              <w:rPr>
                <w:sz w:val="18"/>
                <w:szCs w:val="18"/>
              </w:rPr>
            </w:pPr>
            <w:r>
              <w:rPr>
                <w:sz w:val="18"/>
                <w:szCs w:val="18"/>
              </w:rPr>
              <w:t>Summary Reflection of Business Faculty Characteristics, Activities, and Processes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43575C76"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82F95B"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A4CD69"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68F535"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93D7B5"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C71DD0"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CF6CFC"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94D0C6"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919EB83"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26CC12E"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13BCB37"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DEFDE16" w14:textId="77777777" w:rsidR="00BD2835" w:rsidRPr="00D753FF"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0627DB6C" w14:textId="77777777" w:rsidR="00BD2835" w:rsidRPr="00D753FF" w:rsidRDefault="00BD2835" w:rsidP="00BD2835">
            <w:pPr>
              <w:spacing w:before="60" w:after="60"/>
              <w:jc w:val="center"/>
              <w:rPr>
                <w:sz w:val="20"/>
                <w:szCs w:val="20"/>
              </w:rPr>
            </w:pPr>
          </w:p>
        </w:tc>
      </w:tr>
      <w:tr w:rsidR="00BD2835" w:rsidRPr="00D753FF" w14:paraId="2980020B" w14:textId="77777777" w:rsidTr="00BD2835">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62B0E15E" w14:textId="77777777" w:rsidR="00BD2835" w:rsidRPr="00C60A12" w:rsidRDefault="00BD2835" w:rsidP="00BD2835">
            <w:pPr>
              <w:jc w:val="center"/>
              <w:rPr>
                <w:sz w:val="18"/>
                <w:szCs w:val="18"/>
              </w:rPr>
            </w:pPr>
            <w:r w:rsidRPr="00C60A12">
              <w:rPr>
                <w:sz w:val="18"/>
                <w:szCs w:val="18"/>
              </w:rPr>
              <w:t>6.1</w:t>
            </w:r>
          </w:p>
          <w:p w14:paraId="36C2C8F0" w14:textId="77777777" w:rsidR="00BD2835" w:rsidRPr="00C60A12" w:rsidRDefault="00BD2835" w:rsidP="00BD2835">
            <w:pPr>
              <w:jc w:val="center"/>
              <w:rPr>
                <w:sz w:val="18"/>
                <w:szCs w:val="18"/>
              </w:rPr>
            </w:pPr>
            <w:r>
              <w:rPr>
                <w:sz w:val="18"/>
                <w:szCs w:val="18"/>
              </w:rPr>
              <w:t>Admissions Policies and Procedures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69A36757"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C071BC"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D8202D"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5720E3"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956354"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107692"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A1657A"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BEDA21"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2C3088B"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F2B8D31"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4D482B1"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7A69DBC" w14:textId="77777777" w:rsidR="00BD2835" w:rsidRPr="00D753FF"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4DFE228B" w14:textId="77777777" w:rsidR="00BD2835" w:rsidRPr="00D753FF" w:rsidRDefault="00BD2835" w:rsidP="00BD2835">
            <w:pPr>
              <w:spacing w:before="60" w:after="60"/>
              <w:jc w:val="center"/>
              <w:rPr>
                <w:sz w:val="20"/>
                <w:szCs w:val="20"/>
              </w:rPr>
            </w:pPr>
          </w:p>
        </w:tc>
      </w:tr>
      <w:tr w:rsidR="00BD2835" w:rsidRPr="00D753FF" w14:paraId="2100E397" w14:textId="77777777" w:rsidTr="00BD2835">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2EDB27C7" w14:textId="77777777" w:rsidR="00BD2835" w:rsidRPr="00C60A12" w:rsidRDefault="00BD2835" w:rsidP="00BD2835">
            <w:pPr>
              <w:jc w:val="center"/>
              <w:rPr>
                <w:sz w:val="18"/>
                <w:szCs w:val="18"/>
              </w:rPr>
            </w:pPr>
            <w:r w:rsidRPr="00C60A12">
              <w:rPr>
                <w:sz w:val="18"/>
                <w:szCs w:val="18"/>
              </w:rPr>
              <w:t>6.2</w:t>
            </w:r>
          </w:p>
          <w:p w14:paraId="2891D795" w14:textId="77777777" w:rsidR="00BD2835" w:rsidRPr="00C60A12" w:rsidRDefault="00BD2835" w:rsidP="00BD2835">
            <w:pPr>
              <w:jc w:val="center"/>
              <w:rPr>
                <w:sz w:val="18"/>
                <w:szCs w:val="18"/>
              </w:rPr>
            </w:pPr>
            <w:r>
              <w:rPr>
                <w:sz w:val="18"/>
                <w:szCs w:val="18"/>
              </w:rPr>
              <w:t>Academic Policies and Procedures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7E08443E"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2F0BEA"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E8E08F"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FB8B8A"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2512D1"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4F7BB2"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49361A"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AD7D81"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4B493A9"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E916D0B"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C11371B"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B7BE73E" w14:textId="77777777" w:rsidR="00BD2835" w:rsidRPr="00D753FF"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7B630698" w14:textId="77777777" w:rsidR="00BD2835" w:rsidRPr="00D753FF" w:rsidRDefault="00BD2835" w:rsidP="00BD2835">
            <w:pPr>
              <w:spacing w:before="60" w:after="60"/>
              <w:jc w:val="center"/>
              <w:rPr>
                <w:sz w:val="20"/>
                <w:szCs w:val="20"/>
              </w:rPr>
            </w:pPr>
          </w:p>
        </w:tc>
      </w:tr>
      <w:tr w:rsidR="00BD2835" w:rsidRPr="00D753FF" w14:paraId="4541603A" w14:textId="77777777" w:rsidTr="00BD2835">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3A27E0C3" w14:textId="77777777" w:rsidR="00BD2835" w:rsidRPr="00C60A12" w:rsidRDefault="00BD2835" w:rsidP="00BD2835">
            <w:pPr>
              <w:jc w:val="center"/>
              <w:rPr>
                <w:sz w:val="18"/>
                <w:szCs w:val="18"/>
              </w:rPr>
            </w:pPr>
            <w:r w:rsidRPr="00C60A12">
              <w:rPr>
                <w:sz w:val="18"/>
                <w:szCs w:val="18"/>
              </w:rPr>
              <w:t>6.3</w:t>
            </w:r>
          </w:p>
          <w:p w14:paraId="26E66891" w14:textId="77777777" w:rsidR="00BD2835" w:rsidRPr="00C60A12" w:rsidRDefault="00BD2835" w:rsidP="00BD2835">
            <w:pPr>
              <w:jc w:val="center"/>
              <w:rPr>
                <w:sz w:val="18"/>
                <w:szCs w:val="18"/>
              </w:rPr>
            </w:pPr>
            <w:r>
              <w:rPr>
                <w:sz w:val="18"/>
                <w:szCs w:val="18"/>
              </w:rPr>
              <w:t>Career Development and Planning Services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70464057"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1F3640"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711DC7"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901DAF"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CF7380"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8EE6CB"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38C5CC"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090AF5"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BF64FC4"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35EE84B"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B027A23"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91451FA" w14:textId="77777777" w:rsidR="00BD2835" w:rsidRPr="00D753FF"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2B99C5AE" w14:textId="77777777" w:rsidR="00BD2835" w:rsidRPr="00D753FF" w:rsidRDefault="00BD2835" w:rsidP="00BD2835">
            <w:pPr>
              <w:spacing w:before="60" w:after="60"/>
              <w:jc w:val="center"/>
              <w:rPr>
                <w:sz w:val="20"/>
                <w:szCs w:val="20"/>
              </w:rPr>
            </w:pPr>
          </w:p>
        </w:tc>
      </w:tr>
      <w:tr w:rsidR="00BD2835" w:rsidRPr="00D753FF" w14:paraId="52A719D9" w14:textId="77777777" w:rsidTr="00BD2835">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78157DDD" w14:textId="77777777" w:rsidR="00BD2835" w:rsidRPr="00C60A12" w:rsidRDefault="00BD2835" w:rsidP="00BD2835">
            <w:pPr>
              <w:jc w:val="center"/>
              <w:rPr>
                <w:sz w:val="18"/>
                <w:szCs w:val="18"/>
              </w:rPr>
            </w:pPr>
            <w:r w:rsidRPr="00C60A12">
              <w:rPr>
                <w:sz w:val="18"/>
                <w:szCs w:val="18"/>
              </w:rPr>
              <w:t>6.4</w:t>
            </w:r>
          </w:p>
          <w:p w14:paraId="6B8A7D98" w14:textId="77777777" w:rsidR="00BD2835" w:rsidRPr="00C60A12" w:rsidRDefault="00BD2835" w:rsidP="00BD2835">
            <w:pPr>
              <w:jc w:val="center"/>
              <w:rPr>
                <w:sz w:val="18"/>
                <w:szCs w:val="18"/>
              </w:rPr>
            </w:pPr>
            <w:r>
              <w:rPr>
                <w:sz w:val="18"/>
                <w:szCs w:val="18"/>
              </w:rPr>
              <w:t>Summary Reflection on Student Policies, Procedures, and Processes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3B01293B"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977D66"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B27809"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B3E423"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43D7BA"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B7B937"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4920C3"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7AB201"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30BB00C"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26D947A"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0E5D72D"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C7C9E6E" w14:textId="77777777" w:rsidR="00BD2835" w:rsidRPr="00D753FF"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33D6CDEF" w14:textId="77777777" w:rsidR="00BD2835" w:rsidRPr="00D753FF" w:rsidRDefault="00BD2835" w:rsidP="00BD2835">
            <w:pPr>
              <w:spacing w:before="60" w:after="60"/>
              <w:jc w:val="center"/>
              <w:rPr>
                <w:sz w:val="20"/>
                <w:szCs w:val="20"/>
              </w:rPr>
            </w:pPr>
          </w:p>
        </w:tc>
      </w:tr>
      <w:tr w:rsidR="00BD2835" w:rsidRPr="00D753FF" w14:paraId="736FAC2A" w14:textId="77777777" w:rsidTr="00BD2835">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6F97735E" w14:textId="77777777" w:rsidR="00BD2835" w:rsidRPr="00C60A12" w:rsidRDefault="00BD2835" w:rsidP="00BD2835">
            <w:pPr>
              <w:jc w:val="center"/>
              <w:rPr>
                <w:sz w:val="18"/>
                <w:szCs w:val="18"/>
              </w:rPr>
            </w:pPr>
            <w:r w:rsidRPr="00C60A12">
              <w:rPr>
                <w:sz w:val="18"/>
                <w:szCs w:val="18"/>
              </w:rPr>
              <w:t>6.5</w:t>
            </w:r>
          </w:p>
          <w:p w14:paraId="2031DFAD" w14:textId="77777777" w:rsidR="00BD2835" w:rsidRPr="00C60A12" w:rsidRDefault="00BD2835" w:rsidP="00BD2835">
            <w:pPr>
              <w:jc w:val="center"/>
              <w:rPr>
                <w:sz w:val="18"/>
                <w:szCs w:val="18"/>
              </w:rPr>
            </w:pPr>
            <w:r w:rsidRPr="00C60A12">
              <w:rPr>
                <w:sz w:val="18"/>
                <w:szCs w:val="18"/>
              </w:rPr>
              <w:t>Off-Campus Locations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345EB382"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195CE4"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0D686D"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BF006"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E3C229"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9C90A4"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658CB8"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D4179B"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A9A67F5"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092E2E5"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E172A36"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9BB03E1" w14:textId="77777777" w:rsidR="00BD2835" w:rsidRPr="00D753FF"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0690934D" w14:textId="77777777" w:rsidR="00BD2835" w:rsidRPr="00D753FF" w:rsidRDefault="00BD2835" w:rsidP="00BD2835">
            <w:pPr>
              <w:spacing w:before="60" w:after="60"/>
              <w:jc w:val="center"/>
              <w:rPr>
                <w:sz w:val="20"/>
                <w:szCs w:val="20"/>
              </w:rPr>
            </w:pPr>
          </w:p>
        </w:tc>
      </w:tr>
      <w:tr w:rsidR="00BD2835" w:rsidRPr="00D753FF" w14:paraId="32A99374" w14:textId="77777777" w:rsidTr="00BD2835">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1E2CB422" w14:textId="77777777" w:rsidR="00BD2835" w:rsidRPr="00C60A12" w:rsidRDefault="00BD2835" w:rsidP="00BD2835">
            <w:pPr>
              <w:jc w:val="center"/>
              <w:rPr>
                <w:sz w:val="18"/>
                <w:szCs w:val="18"/>
              </w:rPr>
            </w:pPr>
            <w:r w:rsidRPr="00C60A12">
              <w:rPr>
                <w:sz w:val="18"/>
                <w:szCs w:val="18"/>
              </w:rPr>
              <w:t>6.6</w:t>
            </w:r>
          </w:p>
          <w:p w14:paraId="34072CFB" w14:textId="77777777" w:rsidR="00BD2835" w:rsidRPr="00C60A12" w:rsidRDefault="00BD2835" w:rsidP="00BD2835">
            <w:pPr>
              <w:jc w:val="center"/>
              <w:rPr>
                <w:sz w:val="18"/>
                <w:szCs w:val="18"/>
              </w:rPr>
            </w:pPr>
            <w:r w:rsidRPr="00C60A12">
              <w:rPr>
                <w:sz w:val="18"/>
                <w:szCs w:val="18"/>
              </w:rPr>
              <w:t>Summary Evaluation of Resources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12556E9B"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80E67B"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16E309"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10AEE7"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12BD91"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FF41DC"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8E7B20"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164B2C"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94EBAF1"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C666F04"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0BDC086"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A8FA6E1" w14:textId="77777777" w:rsidR="00BD2835" w:rsidRPr="00D753FF"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6401C32D" w14:textId="77777777" w:rsidR="00BD2835" w:rsidRPr="00D753FF" w:rsidRDefault="00BD2835" w:rsidP="00BD2835">
            <w:pPr>
              <w:spacing w:before="60" w:after="60"/>
              <w:jc w:val="center"/>
              <w:rPr>
                <w:sz w:val="20"/>
                <w:szCs w:val="20"/>
              </w:rPr>
            </w:pPr>
          </w:p>
        </w:tc>
      </w:tr>
      <w:tr w:rsidR="00BD2835" w:rsidRPr="00D753FF" w14:paraId="47D8C74B" w14:textId="77777777" w:rsidTr="00BD2835">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2E8A9784" w14:textId="77777777" w:rsidR="00BD2835" w:rsidRPr="00C60A12" w:rsidRDefault="00BD2835" w:rsidP="00BD2835">
            <w:pPr>
              <w:jc w:val="center"/>
              <w:rPr>
                <w:sz w:val="18"/>
                <w:szCs w:val="18"/>
              </w:rPr>
            </w:pPr>
            <w:r w:rsidRPr="00C60A12">
              <w:rPr>
                <w:sz w:val="18"/>
                <w:szCs w:val="18"/>
              </w:rPr>
              <w:t>7.1</w:t>
            </w:r>
          </w:p>
          <w:p w14:paraId="15E37CA5" w14:textId="77777777" w:rsidR="00BD2835" w:rsidRPr="00C60A12" w:rsidRDefault="00BD2835" w:rsidP="00BD2835">
            <w:pPr>
              <w:jc w:val="center"/>
              <w:rPr>
                <w:sz w:val="18"/>
                <w:szCs w:val="18"/>
              </w:rPr>
            </w:pPr>
            <w:r>
              <w:rPr>
                <w:sz w:val="18"/>
                <w:szCs w:val="18"/>
              </w:rPr>
              <w:t>Financial Resources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533189AD"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7B937B"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D5A329"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12EB0"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C90B1F"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BCA7C3"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7CB54A"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439C5D"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ED29CBD"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0D3C94A"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7DDF26D"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8AA1192" w14:textId="77777777" w:rsidR="00BD2835" w:rsidRPr="00D753FF"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1F70DCF1" w14:textId="77777777" w:rsidR="00BD2835" w:rsidRPr="00D753FF" w:rsidRDefault="00BD2835" w:rsidP="00BD2835">
            <w:pPr>
              <w:spacing w:before="60" w:after="60"/>
              <w:jc w:val="center"/>
              <w:rPr>
                <w:sz w:val="20"/>
                <w:szCs w:val="20"/>
              </w:rPr>
            </w:pPr>
          </w:p>
        </w:tc>
      </w:tr>
      <w:tr w:rsidR="00BD2835" w:rsidRPr="00D753FF" w14:paraId="7561E18B" w14:textId="77777777" w:rsidTr="00BD2835">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6262557F" w14:textId="77777777" w:rsidR="00BD2835" w:rsidRPr="00C60A12" w:rsidRDefault="00BD2835" w:rsidP="00BD2835">
            <w:pPr>
              <w:jc w:val="center"/>
              <w:rPr>
                <w:sz w:val="18"/>
                <w:szCs w:val="18"/>
              </w:rPr>
            </w:pPr>
            <w:r w:rsidRPr="00C60A12">
              <w:rPr>
                <w:sz w:val="18"/>
                <w:szCs w:val="18"/>
              </w:rPr>
              <w:lastRenderedPageBreak/>
              <w:t>7.2</w:t>
            </w:r>
          </w:p>
          <w:p w14:paraId="7176CD63" w14:textId="77777777" w:rsidR="00BD2835" w:rsidRPr="00C60A12" w:rsidRDefault="00BD2835" w:rsidP="00BD2835">
            <w:pPr>
              <w:jc w:val="center"/>
              <w:rPr>
                <w:sz w:val="18"/>
                <w:szCs w:val="18"/>
              </w:rPr>
            </w:pPr>
            <w:r>
              <w:rPr>
                <w:sz w:val="18"/>
                <w:szCs w:val="18"/>
              </w:rPr>
              <w:t>Facilities Supporting Business Programs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75B25083"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C7B40A"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52C69E"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9A4CD9"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831C89"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EAAFB4"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635080"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141C9D"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D9A6BE8"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82A77F3"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04888DC"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9B722C3" w14:textId="77777777" w:rsidR="00BD2835" w:rsidRPr="00D753FF"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21BD4738" w14:textId="77777777" w:rsidR="00BD2835" w:rsidRPr="00D753FF" w:rsidRDefault="00BD2835" w:rsidP="00BD2835">
            <w:pPr>
              <w:spacing w:before="60" w:after="60"/>
              <w:jc w:val="center"/>
              <w:rPr>
                <w:sz w:val="20"/>
                <w:szCs w:val="20"/>
              </w:rPr>
            </w:pPr>
          </w:p>
        </w:tc>
      </w:tr>
      <w:tr w:rsidR="00BD2835" w:rsidRPr="00D753FF" w14:paraId="72AAF228" w14:textId="77777777" w:rsidTr="00BD2835">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47168629" w14:textId="77777777" w:rsidR="00BD2835" w:rsidRPr="00C60A12" w:rsidRDefault="00BD2835" w:rsidP="00BD2835">
            <w:pPr>
              <w:jc w:val="center"/>
              <w:rPr>
                <w:sz w:val="18"/>
                <w:szCs w:val="18"/>
              </w:rPr>
            </w:pPr>
            <w:r w:rsidRPr="00C60A12">
              <w:rPr>
                <w:sz w:val="18"/>
                <w:szCs w:val="18"/>
              </w:rPr>
              <w:t>7.3</w:t>
            </w:r>
          </w:p>
          <w:p w14:paraId="4625A5B1" w14:textId="77777777" w:rsidR="00BD2835" w:rsidRPr="00C60A12" w:rsidRDefault="00BD2835" w:rsidP="00BD2835">
            <w:pPr>
              <w:jc w:val="center"/>
              <w:rPr>
                <w:sz w:val="18"/>
                <w:szCs w:val="18"/>
              </w:rPr>
            </w:pPr>
            <w:r>
              <w:rPr>
                <w:sz w:val="18"/>
                <w:szCs w:val="18"/>
              </w:rPr>
              <w:t>Learning Resource Supporting Business Programs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2D524620"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5916C3"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CB0837"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06E37F"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525DDA"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E71815"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93DE0F"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BAA5D0"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777F786"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05FBD26"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3E8432F"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0661687" w14:textId="77777777" w:rsidR="00BD2835" w:rsidRPr="00D753FF"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677AF236" w14:textId="77777777" w:rsidR="00BD2835" w:rsidRPr="00D753FF" w:rsidRDefault="00BD2835" w:rsidP="00BD2835">
            <w:pPr>
              <w:spacing w:before="60" w:after="60"/>
              <w:jc w:val="center"/>
              <w:rPr>
                <w:sz w:val="20"/>
                <w:szCs w:val="20"/>
              </w:rPr>
            </w:pPr>
          </w:p>
        </w:tc>
      </w:tr>
      <w:tr w:rsidR="00BD2835" w:rsidRPr="00D753FF" w14:paraId="657B365D" w14:textId="77777777" w:rsidTr="00BD2835">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2318F061" w14:textId="77777777" w:rsidR="00BD2835" w:rsidRPr="00C60A12" w:rsidRDefault="00BD2835" w:rsidP="00BD2835">
            <w:pPr>
              <w:jc w:val="center"/>
              <w:rPr>
                <w:sz w:val="18"/>
                <w:szCs w:val="18"/>
              </w:rPr>
            </w:pPr>
            <w:r w:rsidRPr="00C60A12">
              <w:rPr>
                <w:sz w:val="18"/>
                <w:szCs w:val="18"/>
              </w:rPr>
              <w:t>7.4</w:t>
            </w:r>
          </w:p>
          <w:p w14:paraId="0ECA78DB" w14:textId="77777777" w:rsidR="00BD2835" w:rsidRPr="00C60A12" w:rsidRDefault="00BD2835" w:rsidP="00BD2835">
            <w:pPr>
              <w:jc w:val="center"/>
              <w:rPr>
                <w:sz w:val="18"/>
                <w:szCs w:val="18"/>
              </w:rPr>
            </w:pPr>
            <w:r>
              <w:rPr>
                <w:sz w:val="18"/>
                <w:szCs w:val="18"/>
              </w:rPr>
              <w:t>Technological Resources Supporting Business Programs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088B2535"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1F05D8"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301407"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CFAE0"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B15544"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20EF23"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82FEF6"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7BF6C3"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CB6770C" w14:textId="77777777" w:rsidR="00BD2835" w:rsidRDefault="00BD2835" w:rsidP="00BD2835">
            <w:pPr>
              <w:spacing w:before="60" w:after="60"/>
              <w:jc w:val="center"/>
              <w:rPr>
                <w:sz w:val="20"/>
                <w:szCs w:val="20"/>
              </w:rPr>
            </w:pPr>
            <w:r>
              <w:rPr>
                <w:sz w:val="20"/>
                <w:szCs w:val="20"/>
              </w:rPr>
              <w:t>O*</w:t>
            </w:r>
          </w:p>
          <w:p w14:paraId="3F01E9E4" w14:textId="77777777" w:rsidR="00BD2835" w:rsidRPr="00D753FF" w:rsidRDefault="00BD2835" w:rsidP="00BD2835">
            <w:pPr>
              <w:spacing w:before="60" w:after="60"/>
              <w:jc w:val="center"/>
              <w:rPr>
                <w:sz w:val="20"/>
                <w:szCs w:val="20"/>
              </w:rPr>
            </w:pPr>
            <w:r>
              <w:rPr>
                <w:sz w:val="20"/>
                <w:szCs w:val="20"/>
              </w:rPr>
              <w:t>6.4</w:t>
            </w:r>
          </w:p>
        </w:tc>
        <w:tc>
          <w:tcPr>
            <w:tcW w:w="654" w:type="dxa"/>
            <w:tcBorders>
              <w:left w:val="single" w:sz="4" w:space="0" w:color="000000" w:themeColor="text1"/>
              <w:right w:val="single" w:sz="4" w:space="0" w:color="000000" w:themeColor="text1"/>
            </w:tcBorders>
            <w:shd w:val="clear" w:color="auto" w:fill="auto"/>
            <w:vAlign w:val="center"/>
          </w:tcPr>
          <w:p w14:paraId="4776A432"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D86003C"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8C3D11F" w14:textId="77777777" w:rsidR="00BD2835" w:rsidRPr="00D753FF"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5B3A4523" w14:textId="77777777" w:rsidR="00BD2835" w:rsidRPr="00D753FF" w:rsidRDefault="00BD2835" w:rsidP="00BD2835">
            <w:pPr>
              <w:spacing w:before="60" w:after="60"/>
              <w:jc w:val="center"/>
              <w:rPr>
                <w:sz w:val="20"/>
                <w:szCs w:val="20"/>
              </w:rPr>
            </w:pPr>
            <w:r>
              <w:rPr>
                <w:sz w:val="20"/>
                <w:szCs w:val="20"/>
              </w:rPr>
              <w:t>0/1</w:t>
            </w:r>
          </w:p>
        </w:tc>
      </w:tr>
      <w:tr w:rsidR="00BD2835" w:rsidRPr="00D753FF" w14:paraId="61B1D7E5" w14:textId="77777777" w:rsidTr="00BD2835">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42E18825" w14:textId="77777777" w:rsidR="00BD2835" w:rsidRPr="00C60A12" w:rsidRDefault="00BD2835" w:rsidP="00BD2835">
            <w:pPr>
              <w:jc w:val="center"/>
              <w:rPr>
                <w:sz w:val="18"/>
                <w:szCs w:val="18"/>
              </w:rPr>
            </w:pPr>
            <w:r w:rsidRPr="00C60A12">
              <w:rPr>
                <w:sz w:val="18"/>
                <w:szCs w:val="18"/>
              </w:rPr>
              <w:t>7.5</w:t>
            </w:r>
          </w:p>
          <w:p w14:paraId="6130BEAB" w14:textId="77777777" w:rsidR="00BD2835" w:rsidRPr="00C60A12" w:rsidRDefault="00BD2835" w:rsidP="00BD2835">
            <w:pPr>
              <w:jc w:val="center"/>
              <w:rPr>
                <w:sz w:val="18"/>
                <w:szCs w:val="18"/>
              </w:rPr>
            </w:pPr>
            <w:r>
              <w:rPr>
                <w:sz w:val="18"/>
                <w:szCs w:val="18"/>
              </w:rPr>
              <w:t>Other Instructional Locations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260F8E0C"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C939BA"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B86677"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3FD187"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55E9E7"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FB3629"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59844E"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359421"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C809021"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B26092C"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D3AA5E4"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DFAEB8D" w14:textId="77777777" w:rsidR="00BD2835" w:rsidRPr="00D753FF"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7E2B6440" w14:textId="77777777" w:rsidR="00BD2835" w:rsidRPr="00D753FF" w:rsidRDefault="00BD2835" w:rsidP="00BD2835">
            <w:pPr>
              <w:spacing w:before="60" w:after="60"/>
              <w:jc w:val="center"/>
              <w:rPr>
                <w:sz w:val="20"/>
                <w:szCs w:val="20"/>
              </w:rPr>
            </w:pPr>
          </w:p>
        </w:tc>
      </w:tr>
      <w:tr w:rsidR="00BD2835" w:rsidRPr="00D753FF" w14:paraId="1913E117" w14:textId="77777777" w:rsidTr="00BD2835">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7EB454B6" w14:textId="77777777" w:rsidR="00BD2835" w:rsidRPr="00C60A12" w:rsidRDefault="00BD2835" w:rsidP="00BD2835">
            <w:pPr>
              <w:jc w:val="center"/>
              <w:rPr>
                <w:sz w:val="18"/>
                <w:szCs w:val="18"/>
              </w:rPr>
            </w:pPr>
            <w:r w:rsidRPr="00C60A12">
              <w:rPr>
                <w:sz w:val="18"/>
                <w:szCs w:val="18"/>
              </w:rPr>
              <w:t>7.6</w:t>
            </w:r>
          </w:p>
          <w:p w14:paraId="6722D93A" w14:textId="77777777" w:rsidR="00BD2835" w:rsidRPr="00C60A12" w:rsidRDefault="00BD2835" w:rsidP="00BD2835">
            <w:pPr>
              <w:jc w:val="center"/>
              <w:rPr>
                <w:sz w:val="18"/>
                <w:szCs w:val="18"/>
              </w:rPr>
            </w:pPr>
            <w:r>
              <w:rPr>
                <w:sz w:val="18"/>
                <w:szCs w:val="18"/>
              </w:rPr>
              <w:t>Summary Reflection on Resources Supporting Business Programs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3EF483E0"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74013D"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606B56"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02847B"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A12C0B"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234ECE"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930024"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792D9B"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3D78CEA"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F45E5B8"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78A8F4C"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9A82D15" w14:textId="77777777" w:rsidR="00BD2835" w:rsidRPr="00D753FF"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13D62346" w14:textId="77777777" w:rsidR="00BD2835" w:rsidRPr="00D753FF" w:rsidRDefault="00BD2835" w:rsidP="00BD2835">
            <w:pPr>
              <w:spacing w:before="60" w:after="60"/>
              <w:jc w:val="center"/>
              <w:rPr>
                <w:sz w:val="20"/>
                <w:szCs w:val="20"/>
              </w:rPr>
            </w:pPr>
          </w:p>
        </w:tc>
      </w:tr>
      <w:tr w:rsidR="00BD2835" w:rsidRPr="00D753FF" w14:paraId="0787E5BA" w14:textId="77777777" w:rsidTr="00BD2835">
        <w:trPr>
          <w:jc w:val="center"/>
        </w:trPr>
        <w:tc>
          <w:tcPr>
            <w:tcW w:w="4403" w:type="dxa"/>
            <w:tcBorders>
              <w:top w:val="single" w:sz="12"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2AAEECB9" w14:textId="77777777" w:rsidR="00BD2835" w:rsidRPr="00C60A12" w:rsidRDefault="00BD2835" w:rsidP="00BD2835">
            <w:pPr>
              <w:jc w:val="center"/>
              <w:rPr>
                <w:sz w:val="18"/>
                <w:szCs w:val="18"/>
              </w:rPr>
            </w:pPr>
            <w:r w:rsidRPr="00C60A12">
              <w:rPr>
                <w:sz w:val="18"/>
                <w:szCs w:val="18"/>
              </w:rPr>
              <w:t>8.1</w:t>
            </w:r>
          </w:p>
          <w:p w14:paraId="13BC45FC" w14:textId="77777777" w:rsidR="00BD2835" w:rsidRPr="00C60A12" w:rsidRDefault="00BD2835" w:rsidP="00BD2835">
            <w:pPr>
              <w:jc w:val="center"/>
              <w:rPr>
                <w:sz w:val="18"/>
                <w:szCs w:val="18"/>
              </w:rPr>
            </w:pPr>
            <w:r>
              <w:rPr>
                <w:sz w:val="18"/>
                <w:szCs w:val="18"/>
              </w:rPr>
              <w:t>External Linkages with the Business Community</w:t>
            </w:r>
          </w:p>
        </w:tc>
        <w:tc>
          <w:tcPr>
            <w:tcW w:w="654"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38D580AE" w14:textId="77777777" w:rsidR="00BD2835" w:rsidRPr="00D753FF"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B66C86" w14:textId="77777777" w:rsidR="00BD2835" w:rsidRPr="00D753FF"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6E3E4C" w14:textId="77777777" w:rsidR="00BD2835" w:rsidRPr="00D753FF"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6658DFEB" w14:textId="77777777" w:rsidR="00BD2835" w:rsidRPr="00D753FF"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933361" w14:textId="77777777" w:rsidR="00BD2835" w:rsidRPr="00D753FF"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26F77C" w14:textId="77777777" w:rsidR="00BD2835" w:rsidRPr="00D753FF"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F15BEF" w14:textId="77777777" w:rsidR="00BD2835" w:rsidRPr="00D753FF"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60E4D3"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3373604"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81FF63E"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D368A9B"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0702D3C" w14:textId="77777777" w:rsidR="00BD2835" w:rsidRPr="00D753FF"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0A8410DF" w14:textId="77777777" w:rsidR="00BD2835" w:rsidRPr="00D753FF" w:rsidRDefault="00BD2835" w:rsidP="00BD2835">
            <w:pPr>
              <w:spacing w:before="60" w:after="60"/>
              <w:jc w:val="center"/>
              <w:rPr>
                <w:sz w:val="20"/>
                <w:szCs w:val="20"/>
              </w:rPr>
            </w:pPr>
          </w:p>
        </w:tc>
      </w:tr>
      <w:tr w:rsidR="00BD2835" w:rsidRPr="00D753FF" w14:paraId="731E2E5B" w14:textId="77777777" w:rsidTr="00BD2835">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0384B238" w14:textId="77777777" w:rsidR="00BD2835" w:rsidRPr="00C60A12" w:rsidRDefault="00BD2835" w:rsidP="00BD2835">
            <w:pPr>
              <w:jc w:val="center"/>
              <w:rPr>
                <w:sz w:val="18"/>
                <w:szCs w:val="18"/>
              </w:rPr>
            </w:pPr>
            <w:r w:rsidRPr="00C60A12">
              <w:rPr>
                <w:sz w:val="18"/>
                <w:szCs w:val="18"/>
              </w:rPr>
              <w:t>8.2</w:t>
            </w:r>
          </w:p>
          <w:p w14:paraId="14B5B0D0" w14:textId="77777777" w:rsidR="00BD2835" w:rsidRPr="00C60A12" w:rsidRDefault="00BD2835" w:rsidP="00BD2835">
            <w:pPr>
              <w:jc w:val="center"/>
              <w:rPr>
                <w:sz w:val="18"/>
                <w:szCs w:val="18"/>
              </w:rPr>
            </w:pPr>
            <w:r>
              <w:rPr>
                <w:sz w:val="18"/>
                <w:szCs w:val="18"/>
              </w:rPr>
              <w:t>External Accountability</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194CE452"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DFDF94"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90F6AC"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541062"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0548A8"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C132B1"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C28C17"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851564"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D92584C"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2523393"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69171AF"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4C313E7" w14:textId="77777777" w:rsidR="00BD2835" w:rsidRPr="00D753FF"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4ADF49C7" w14:textId="77777777" w:rsidR="00BD2835" w:rsidRPr="00D753FF" w:rsidRDefault="00BD2835" w:rsidP="00BD2835">
            <w:pPr>
              <w:spacing w:before="60" w:after="60"/>
              <w:jc w:val="center"/>
              <w:rPr>
                <w:sz w:val="20"/>
                <w:szCs w:val="20"/>
              </w:rPr>
            </w:pPr>
          </w:p>
        </w:tc>
      </w:tr>
      <w:tr w:rsidR="00BD2835" w:rsidRPr="00D753FF" w14:paraId="646859E2" w14:textId="77777777" w:rsidTr="00BD2835">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67E55BCE" w14:textId="77777777" w:rsidR="00BD2835" w:rsidRDefault="00BD2835" w:rsidP="00BD2835">
            <w:pPr>
              <w:jc w:val="center"/>
              <w:rPr>
                <w:sz w:val="18"/>
                <w:szCs w:val="18"/>
              </w:rPr>
            </w:pPr>
            <w:r>
              <w:rPr>
                <w:sz w:val="18"/>
                <w:szCs w:val="18"/>
              </w:rPr>
              <w:t>8.3</w:t>
            </w:r>
          </w:p>
          <w:p w14:paraId="64FFECB0" w14:textId="77777777" w:rsidR="00BD2835" w:rsidRPr="00C60A12" w:rsidRDefault="00BD2835" w:rsidP="00BD2835">
            <w:pPr>
              <w:jc w:val="center"/>
              <w:rPr>
                <w:sz w:val="18"/>
                <w:szCs w:val="18"/>
              </w:rPr>
            </w:pPr>
            <w:r>
              <w:rPr>
                <w:sz w:val="18"/>
                <w:szCs w:val="18"/>
              </w:rPr>
              <w:t>Summary reflection on External Relationships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492809A2"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0662B2"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50E26"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FC8638"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B5F7F3"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5E470"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49A19B"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C9C081"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AEADED1"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F72DC7B"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4812B89"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A6FD9DE" w14:textId="77777777" w:rsidR="00BD2835" w:rsidRPr="00D753FF" w:rsidRDefault="00BD2835" w:rsidP="00BD2835">
            <w:pPr>
              <w:spacing w:before="60" w:after="60"/>
              <w:jc w:val="center"/>
              <w:rPr>
                <w:sz w:val="20"/>
                <w:szCs w:val="20"/>
              </w:rPr>
            </w:pPr>
          </w:p>
        </w:tc>
        <w:tc>
          <w:tcPr>
            <w:tcW w:w="918" w:type="dxa"/>
            <w:tcBorders>
              <w:left w:val="single" w:sz="12" w:space="0" w:color="000000" w:themeColor="text1"/>
            </w:tcBorders>
            <w:vAlign w:val="center"/>
          </w:tcPr>
          <w:p w14:paraId="60061534" w14:textId="77777777" w:rsidR="00BD2835" w:rsidRPr="00D753FF" w:rsidRDefault="00BD2835" w:rsidP="00BD2835">
            <w:pPr>
              <w:spacing w:before="60" w:after="60"/>
              <w:jc w:val="center"/>
              <w:rPr>
                <w:sz w:val="20"/>
                <w:szCs w:val="20"/>
              </w:rPr>
            </w:pPr>
          </w:p>
        </w:tc>
      </w:tr>
      <w:tr w:rsidR="00BD2835" w:rsidRPr="00D753FF" w14:paraId="40D767A5" w14:textId="77777777" w:rsidTr="00BD2835">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124D25D2" w14:textId="77777777" w:rsidR="00BD2835" w:rsidRPr="00C60A12" w:rsidRDefault="00BD2835" w:rsidP="00BD2835">
            <w:pPr>
              <w:jc w:val="center"/>
              <w:rPr>
                <w:sz w:val="18"/>
                <w:szCs w:val="18"/>
              </w:rPr>
            </w:pPr>
            <w:r w:rsidRPr="00C60A12">
              <w:rPr>
                <w:sz w:val="18"/>
                <w:szCs w:val="18"/>
              </w:rPr>
              <w:t>9</w:t>
            </w:r>
            <w:r>
              <w:rPr>
                <w:sz w:val="18"/>
                <w:szCs w:val="18"/>
              </w:rPr>
              <w:t>.1</w:t>
            </w:r>
          </w:p>
          <w:p w14:paraId="34B0A04A" w14:textId="107D25B2" w:rsidR="00BD2835" w:rsidRPr="00C60A12" w:rsidRDefault="00BD2835" w:rsidP="00BD2835">
            <w:pPr>
              <w:jc w:val="center"/>
              <w:rPr>
                <w:sz w:val="18"/>
                <w:szCs w:val="18"/>
              </w:rPr>
            </w:pPr>
            <w:r>
              <w:rPr>
                <w:sz w:val="18"/>
                <w:szCs w:val="18"/>
              </w:rPr>
              <w:t>Innovation in Business Educat</w:t>
            </w:r>
            <w:r w:rsidR="00634A88">
              <w:rPr>
                <w:sz w:val="18"/>
                <w:szCs w:val="18"/>
              </w:rPr>
              <w:t>io</w:t>
            </w:r>
            <w:r>
              <w:rPr>
                <w:sz w:val="18"/>
                <w:szCs w:val="18"/>
              </w:rPr>
              <w:t>n</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7701F6CB"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65C7A1"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A824F5"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9EB10E"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FB4F0F"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14DEA6"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AE44DF"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94EC30"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4E35CAB9"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00AEFA85"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53CD7597" w14:textId="77777777" w:rsidR="00BD2835" w:rsidRPr="00D753FF" w:rsidRDefault="00BD2835" w:rsidP="00BD2835">
            <w:pPr>
              <w:spacing w:before="60" w:after="60"/>
              <w:jc w:val="center"/>
              <w:rPr>
                <w:sz w:val="20"/>
                <w:szCs w:val="20"/>
              </w:rPr>
            </w:pPr>
          </w:p>
        </w:tc>
        <w:tc>
          <w:tcPr>
            <w:tcW w:w="654"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0C250152" w14:textId="77777777" w:rsidR="00BD2835" w:rsidRPr="00D753FF" w:rsidRDefault="00BD2835" w:rsidP="00BD2835">
            <w:pPr>
              <w:spacing w:before="60" w:after="60"/>
              <w:jc w:val="center"/>
              <w:rPr>
                <w:sz w:val="20"/>
                <w:szCs w:val="20"/>
              </w:rPr>
            </w:pPr>
          </w:p>
        </w:tc>
        <w:tc>
          <w:tcPr>
            <w:tcW w:w="918" w:type="dxa"/>
            <w:tcBorders>
              <w:left w:val="single" w:sz="12" w:space="0" w:color="000000" w:themeColor="text1"/>
              <w:bottom w:val="single" w:sz="4" w:space="0" w:color="000000" w:themeColor="text1"/>
            </w:tcBorders>
            <w:vAlign w:val="center"/>
          </w:tcPr>
          <w:p w14:paraId="02B04F1B" w14:textId="77777777" w:rsidR="00BD2835" w:rsidRPr="00D753FF" w:rsidRDefault="00BD2835" w:rsidP="00BD2835">
            <w:pPr>
              <w:spacing w:before="60" w:after="60"/>
              <w:jc w:val="center"/>
              <w:rPr>
                <w:sz w:val="20"/>
                <w:szCs w:val="20"/>
              </w:rPr>
            </w:pPr>
          </w:p>
        </w:tc>
      </w:tr>
      <w:tr w:rsidR="00BD2835" w:rsidRPr="00D753FF" w14:paraId="5CDB9D49" w14:textId="77777777" w:rsidTr="00BD2835">
        <w:trPr>
          <w:jc w:val="center"/>
        </w:trPr>
        <w:tc>
          <w:tcPr>
            <w:tcW w:w="4403" w:type="dxa"/>
            <w:tcBorders>
              <w:top w:val="single" w:sz="4" w:space="0" w:color="000000" w:themeColor="text1"/>
              <w:bottom w:val="single" w:sz="12" w:space="0" w:color="000000" w:themeColor="text1"/>
              <w:right w:val="single" w:sz="12" w:space="0" w:color="000000" w:themeColor="text1"/>
            </w:tcBorders>
            <w:tcMar>
              <w:top w:w="14" w:type="dxa"/>
              <w:left w:w="0" w:type="dxa"/>
              <w:bottom w:w="14" w:type="dxa"/>
              <w:right w:w="0" w:type="dxa"/>
            </w:tcMar>
            <w:vAlign w:val="center"/>
          </w:tcPr>
          <w:p w14:paraId="22AFFE8F" w14:textId="77777777" w:rsidR="00BD2835" w:rsidRPr="00C60A12" w:rsidRDefault="00BD2835" w:rsidP="00BD2835">
            <w:pPr>
              <w:jc w:val="center"/>
              <w:rPr>
                <w:sz w:val="18"/>
                <w:szCs w:val="18"/>
              </w:rPr>
            </w:pPr>
            <w:r w:rsidRPr="00C60A12">
              <w:rPr>
                <w:sz w:val="18"/>
                <w:szCs w:val="18"/>
              </w:rPr>
              <w:t>9.2</w:t>
            </w:r>
          </w:p>
          <w:p w14:paraId="54C587B8" w14:textId="77777777" w:rsidR="00BD2835" w:rsidRPr="00C60A12" w:rsidRDefault="00BD2835" w:rsidP="00BD2835">
            <w:pPr>
              <w:jc w:val="center"/>
              <w:rPr>
                <w:sz w:val="18"/>
                <w:szCs w:val="18"/>
              </w:rPr>
            </w:pPr>
            <w:r w:rsidRPr="00C60A12">
              <w:rPr>
                <w:sz w:val="18"/>
                <w:szCs w:val="18"/>
              </w:rPr>
              <w:t>S</w:t>
            </w:r>
            <w:r>
              <w:rPr>
                <w:sz w:val="18"/>
                <w:szCs w:val="18"/>
              </w:rPr>
              <w:t>ummary Evaluation on Innovation in Business Education</w:t>
            </w:r>
          </w:p>
        </w:tc>
        <w:tc>
          <w:tcPr>
            <w:tcW w:w="654" w:type="dxa"/>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auto"/>
            <w:vAlign w:val="center"/>
          </w:tcPr>
          <w:p w14:paraId="38F47A88"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160D8156"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1F277020"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470531B9"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2D516598"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26B33477"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43F06E34"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79C0AAD6"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6F66CDCC"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55F20744"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410D94CB" w14:textId="77777777" w:rsidR="00BD2835" w:rsidRPr="00D753FF" w:rsidRDefault="00BD2835" w:rsidP="00BD2835">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41120876" w14:textId="77777777" w:rsidR="00BD2835" w:rsidRPr="00D753FF" w:rsidRDefault="00BD2835" w:rsidP="00BD2835">
            <w:pPr>
              <w:spacing w:before="60" w:after="60"/>
              <w:jc w:val="center"/>
              <w:rPr>
                <w:sz w:val="20"/>
                <w:szCs w:val="20"/>
              </w:rPr>
            </w:pPr>
          </w:p>
        </w:tc>
        <w:tc>
          <w:tcPr>
            <w:tcW w:w="918" w:type="dxa"/>
            <w:tcBorders>
              <w:top w:val="single" w:sz="4" w:space="0" w:color="000000" w:themeColor="text1"/>
              <w:left w:val="single" w:sz="12" w:space="0" w:color="000000" w:themeColor="text1"/>
              <w:bottom w:val="single" w:sz="12" w:space="0" w:color="000000" w:themeColor="text1"/>
            </w:tcBorders>
            <w:vAlign w:val="center"/>
          </w:tcPr>
          <w:p w14:paraId="6BDB731A" w14:textId="77777777" w:rsidR="00BD2835" w:rsidRPr="00D753FF" w:rsidRDefault="00BD2835" w:rsidP="00BD2835">
            <w:pPr>
              <w:spacing w:before="60" w:after="60"/>
              <w:jc w:val="center"/>
              <w:rPr>
                <w:sz w:val="20"/>
                <w:szCs w:val="20"/>
              </w:rPr>
            </w:pPr>
          </w:p>
        </w:tc>
      </w:tr>
      <w:tr w:rsidR="00BD2835" w:rsidRPr="00D753FF" w14:paraId="1EC19607" w14:textId="77777777" w:rsidTr="00BD2835">
        <w:trPr>
          <w:trHeight w:val="432"/>
          <w:jc w:val="center"/>
        </w:trPr>
        <w:tc>
          <w:tcPr>
            <w:tcW w:w="4403" w:type="dxa"/>
            <w:tcBorders>
              <w:top w:val="single" w:sz="12" w:space="0" w:color="000000" w:themeColor="text1"/>
              <w:bottom w:val="single" w:sz="12" w:space="0" w:color="000000" w:themeColor="text1"/>
              <w:right w:val="single" w:sz="12" w:space="0" w:color="000000" w:themeColor="text1"/>
            </w:tcBorders>
            <w:tcMar>
              <w:top w:w="14" w:type="dxa"/>
              <w:left w:w="0" w:type="dxa"/>
              <w:bottom w:w="14" w:type="dxa"/>
              <w:right w:w="0" w:type="dxa"/>
            </w:tcMar>
            <w:vAlign w:val="center"/>
          </w:tcPr>
          <w:p w14:paraId="702DE8A3" w14:textId="77777777" w:rsidR="00BD2835" w:rsidRPr="001355C5" w:rsidRDefault="00BD2835" w:rsidP="00BD2835">
            <w:pPr>
              <w:jc w:val="center"/>
              <w:rPr>
                <w:b/>
                <w:sz w:val="20"/>
                <w:szCs w:val="20"/>
              </w:rPr>
            </w:pPr>
            <w:r w:rsidRPr="001355C5">
              <w:rPr>
                <w:b/>
                <w:sz w:val="20"/>
                <w:szCs w:val="20"/>
              </w:rPr>
              <w:t>Totals (Notes/Observations</w:t>
            </w:r>
            <w:r>
              <w:rPr>
                <w:b/>
                <w:sz w:val="20"/>
                <w:szCs w:val="20"/>
              </w:rPr>
              <w:t>/Commendations</w:t>
            </w:r>
            <w:r w:rsidRPr="001355C5">
              <w:rPr>
                <w:b/>
                <w:sz w:val="20"/>
                <w:szCs w:val="20"/>
              </w:rPr>
              <w:t>)</w:t>
            </w:r>
          </w:p>
        </w:tc>
        <w:tc>
          <w:tcPr>
            <w:tcW w:w="654" w:type="dxa"/>
            <w:tcBorders>
              <w:top w:val="single" w:sz="12" w:space="0" w:color="000000" w:themeColor="text1"/>
              <w:left w:val="single" w:sz="12" w:space="0" w:color="000000" w:themeColor="text1"/>
              <w:bottom w:val="single" w:sz="12" w:space="0" w:color="000000" w:themeColor="text1"/>
              <w:right w:val="single" w:sz="4" w:space="0" w:color="000000" w:themeColor="text1"/>
            </w:tcBorders>
            <w:shd w:val="clear" w:color="auto" w:fill="auto"/>
            <w:vAlign w:val="center"/>
          </w:tcPr>
          <w:p w14:paraId="2C429D5E" w14:textId="77777777" w:rsidR="00BD2835" w:rsidRPr="00D753FF" w:rsidRDefault="00BD2835" w:rsidP="00BD2835">
            <w:pPr>
              <w:spacing w:before="60" w:after="60"/>
              <w:jc w:val="center"/>
              <w:rPr>
                <w:sz w:val="20"/>
                <w:szCs w:val="20"/>
              </w:rPr>
            </w:pPr>
            <w:r>
              <w:rPr>
                <w:sz w:val="20"/>
                <w:szCs w:val="20"/>
              </w:rPr>
              <w:t>1/0</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129BE536" w14:textId="77777777" w:rsidR="00BD2835" w:rsidRPr="00D753FF" w:rsidRDefault="00BD2835" w:rsidP="00BD2835">
            <w:pPr>
              <w:spacing w:before="60" w:after="60"/>
              <w:jc w:val="center"/>
              <w:rPr>
                <w:sz w:val="20"/>
                <w:szCs w:val="20"/>
              </w:rPr>
            </w:pPr>
            <w:r>
              <w:rPr>
                <w:sz w:val="20"/>
                <w:szCs w:val="20"/>
              </w:rPr>
              <w:t>1/0</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01B4F5BA" w14:textId="77777777" w:rsidR="00BD2835" w:rsidRPr="00D753FF" w:rsidRDefault="00BD2835" w:rsidP="00BD2835">
            <w:pPr>
              <w:spacing w:before="60" w:after="60"/>
              <w:jc w:val="center"/>
              <w:rPr>
                <w:sz w:val="20"/>
                <w:szCs w:val="20"/>
              </w:rPr>
            </w:pPr>
            <w:r>
              <w:rPr>
                <w:sz w:val="20"/>
                <w:szCs w:val="20"/>
              </w:rPr>
              <w:t>0/0</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vAlign w:val="center"/>
          </w:tcPr>
          <w:p w14:paraId="1643A163" w14:textId="77777777" w:rsidR="00BD2835" w:rsidRPr="00D753FF" w:rsidRDefault="00BD2835" w:rsidP="00BD2835">
            <w:pPr>
              <w:spacing w:before="60" w:after="60"/>
              <w:jc w:val="center"/>
              <w:rPr>
                <w:sz w:val="20"/>
                <w:szCs w:val="20"/>
              </w:rPr>
            </w:pPr>
            <w:r>
              <w:rPr>
                <w:sz w:val="20"/>
                <w:szCs w:val="20"/>
              </w:rPr>
              <w:t>0/0</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3B930B04" w14:textId="77777777" w:rsidR="00BD2835" w:rsidRPr="00D753FF" w:rsidRDefault="00BD2835" w:rsidP="00BD2835">
            <w:pPr>
              <w:spacing w:before="60" w:after="60"/>
              <w:jc w:val="center"/>
              <w:rPr>
                <w:sz w:val="20"/>
                <w:szCs w:val="20"/>
              </w:rPr>
            </w:pPr>
            <w:r>
              <w:rPr>
                <w:sz w:val="20"/>
                <w:szCs w:val="20"/>
              </w:rPr>
              <w:t>1/0</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131A5DD7" w14:textId="77777777" w:rsidR="00BD2835" w:rsidRPr="00D753FF" w:rsidRDefault="00BD2835" w:rsidP="00BD2835">
            <w:pPr>
              <w:spacing w:before="60" w:after="60"/>
              <w:jc w:val="center"/>
              <w:rPr>
                <w:sz w:val="20"/>
                <w:szCs w:val="20"/>
              </w:rPr>
            </w:pPr>
            <w:r>
              <w:rPr>
                <w:sz w:val="20"/>
                <w:szCs w:val="20"/>
              </w:rPr>
              <w:t>2/0</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758EBC39" w14:textId="77777777" w:rsidR="00BD2835" w:rsidRPr="00D753FF"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7FD7BC9B" w14:textId="77777777" w:rsidR="00BD2835" w:rsidRPr="00D753FF" w:rsidRDefault="00BD2835" w:rsidP="00BD2835">
            <w:pPr>
              <w:spacing w:before="60" w:after="60"/>
              <w:rPr>
                <w:sz w:val="20"/>
                <w:szCs w:val="20"/>
              </w:rPr>
            </w:pP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126B87B6" w14:textId="77777777" w:rsidR="00BD2835" w:rsidRPr="00D753FF" w:rsidRDefault="00BD2835" w:rsidP="00BD2835">
            <w:pPr>
              <w:spacing w:before="60" w:after="60"/>
              <w:jc w:val="center"/>
              <w:rPr>
                <w:sz w:val="20"/>
                <w:szCs w:val="20"/>
              </w:rPr>
            </w:pPr>
            <w:r>
              <w:rPr>
                <w:sz w:val="20"/>
                <w:szCs w:val="20"/>
              </w:rPr>
              <w:t>0/2</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42421F45" w14:textId="77777777" w:rsidR="00BD2835" w:rsidRPr="00D753FF" w:rsidRDefault="00BD2835" w:rsidP="00BD2835">
            <w:pPr>
              <w:spacing w:before="60" w:after="60"/>
              <w:jc w:val="center"/>
              <w:rPr>
                <w:sz w:val="20"/>
                <w:szCs w:val="20"/>
              </w:rPr>
            </w:pPr>
            <w:r>
              <w:rPr>
                <w:sz w:val="20"/>
                <w:szCs w:val="20"/>
              </w:rPr>
              <w:t>1/0</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7DB65ED9" w14:textId="77777777" w:rsidR="00BD2835" w:rsidRPr="00D753FF"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5861A14B" w14:textId="77777777" w:rsidR="00BD2835" w:rsidRPr="00D753FF" w:rsidRDefault="00BD2835" w:rsidP="00BD2835">
            <w:pPr>
              <w:spacing w:before="60" w:after="60"/>
              <w:jc w:val="center"/>
              <w:rPr>
                <w:sz w:val="20"/>
                <w:szCs w:val="20"/>
              </w:rPr>
            </w:pPr>
          </w:p>
        </w:tc>
        <w:tc>
          <w:tcPr>
            <w:tcW w:w="918" w:type="dxa"/>
            <w:tcBorders>
              <w:top w:val="single" w:sz="12" w:space="0" w:color="000000" w:themeColor="text1"/>
              <w:left w:val="single" w:sz="12" w:space="0" w:color="000000" w:themeColor="text1"/>
              <w:bottom w:val="single" w:sz="12" w:space="0" w:color="000000" w:themeColor="text1"/>
            </w:tcBorders>
            <w:vAlign w:val="center"/>
          </w:tcPr>
          <w:p w14:paraId="34759AD4" w14:textId="77777777" w:rsidR="00BD2835" w:rsidRPr="00D753FF" w:rsidRDefault="00BD2835" w:rsidP="00BD2835">
            <w:pPr>
              <w:spacing w:before="60" w:after="60"/>
              <w:jc w:val="center"/>
              <w:rPr>
                <w:sz w:val="20"/>
                <w:szCs w:val="20"/>
              </w:rPr>
            </w:pPr>
            <w:r>
              <w:rPr>
                <w:sz w:val="20"/>
                <w:szCs w:val="20"/>
              </w:rPr>
              <w:t>6/2</w:t>
            </w:r>
          </w:p>
        </w:tc>
      </w:tr>
      <w:tr w:rsidR="00BD2835" w:rsidRPr="00D753FF" w14:paraId="1F398A93" w14:textId="77777777" w:rsidTr="00BD2835">
        <w:trPr>
          <w:trHeight w:val="432"/>
          <w:jc w:val="center"/>
        </w:trPr>
        <w:tc>
          <w:tcPr>
            <w:tcW w:w="4403" w:type="dxa"/>
            <w:tcBorders>
              <w:top w:val="single" w:sz="12" w:space="0" w:color="000000" w:themeColor="text1"/>
              <w:bottom w:val="single" w:sz="12" w:space="0" w:color="000000" w:themeColor="text1"/>
              <w:right w:val="single" w:sz="12" w:space="0" w:color="000000" w:themeColor="text1"/>
            </w:tcBorders>
            <w:tcMar>
              <w:top w:w="14" w:type="dxa"/>
              <w:left w:w="0" w:type="dxa"/>
              <w:bottom w:w="14" w:type="dxa"/>
              <w:right w:w="0" w:type="dxa"/>
            </w:tcMar>
            <w:vAlign w:val="center"/>
          </w:tcPr>
          <w:p w14:paraId="03A54A50" w14:textId="77777777" w:rsidR="00BD2835" w:rsidRPr="001355C5" w:rsidRDefault="00BD2835" w:rsidP="00BD2835">
            <w:pPr>
              <w:jc w:val="center"/>
              <w:rPr>
                <w:b/>
                <w:sz w:val="20"/>
                <w:szCs w:val="20"/>
              </w:rPr>
            </w:pPr>
            <w:r w:rsidRPr="001355C5">
              <w:rPr>
                <w:b/>
                <w:sz w:val="20"/>
                <w:szCs w:val="20"/>
              </w:rPr>
              <w:t>Accreditation Decision</w:t>
            </w:r>
          </w:p>
        </w:tc>
        <w:tc>
          <w:tcPr>
            <w:tcW w:w="654" w:type="dxa"/>
            <w:tcBorders>
              <w:top w:val="single" w:sz="12" w:space="0" w:color="000000" w:themeColor="text1"/>
              <w:left w:val="single" w:sz="12" w:space="0" w:color="000000" w:themeColor="text1"/>
              <w:bottom w:val="single" w:sz="12" w:space="0" w:color="000000" w:themeColor="text1"/>
              <w:right w:val="single" w:sz="4" w:space="0" w:color="000000" w:themeColor="text1"/>
            </w:tcBorders>
            <w:shd w:val="clear" w:color="auto" w:fill="auto"/>
            <w:vAlign w:val="center"/>
          </w:tcPr>
          <w:p w14:paraId="77208247" w14:textId="77777777" w:rsidR="00BD2835" w:rsidRPr="00D753FF" w:rsidRDefault="00BD2835" w:rsidP="00BD2835">
            <w:pPr>
              <w:spacing w:before="60" w:after="60"/>
              <w:jc w:val="center"/>
              <w:rPr>
                <w:sz w:val="20"/>
                <w:szCs w:val="20"/>
              </w:rPr>
            </w:pPr>
            <w:r>
              <w:rPr>
                <w:sz w:val="20"/>
                <w:szCs w:val="20"/>
              </w:rPr>
              <w:t>A</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3532C5DF" w14:textId="77777777" w:rsidR="00BD2835" w:rsidRPr="00D753FF" w:rsidRDefault="00BD2835" w:rsidP="00BD2835">
            <w:pPr>
              <w:spacing w:before="60" w:after="60"/>
              <w:jc w:val="center"/>
              <w:rPr>
                <w:sz w:val="20"/>
                <w:szCs w:val="20"/>
              </w:rPr>
            </w:pPr>
            <w:r>
              <w:rPr>
                <w:sz w:val="20"/>
                <w:szCs w:val="20"/>
              </w:rPr>
              <w:t>A</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77DDBB06" w14:textId="77777777" w:rsidR="00BD2835" w:rsidRPr="00D753FF" w:rsidRDefault="00BD2835" w:rsidP="00BD2835">
            <w:pPr>
              <w:spacing w:before="60" w:after="60"/>
              <w:jc w:val="center"/>
              <w:rPr>
                <w:sz w:val="20"/>
                <w:szCs w:val="20"/>
              </w:rPr>
            </w:pPr>
            <w:r>
              <w:rPr>
                <w:sz w:val="20"/>
                <w:szCs w:val="20"/>
              </w:rPr>
              <w:t>A</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vAlign w:val="center"/>
          </w:tcPr>
          <w:p w14:paraId="105CCC2B" w14:textId="77777777" w:rsidR="00BD2835" w:rsidRPr="00D753FF" w:rsidRDefault="00BD2835" w:rsidP="00BD2835">
            <w:pPr>
              <w:spacing w:before="60" w:after="60"/>
              <w:jc w:val="center"/>
              <w:rPr>
                <w:sz w:val="20"/>
                <w:szCs w:val="20"/>
              </w:rPr>
            </w:pPr>
            <w:r>
              <w:rPr>
                <w:sz w:val="20"/>
                <w:szCs w:val="20"/>
              </w:rPr>
              <w:t>A</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5311522E" w14:textId="77777777" w:rsidR="00BD2835" w:rsidRPr="00D753FF" w:rsidRDefault="00BD2835" w:rsidP="00BD2835">
            <w:pPr>
              <w:spacing w:before="60" w:after="60"/>
              <w:jc w:val="center"/>
              <w:rPr>
                <w:sz w:val="20"/>
                <w:szCs w:val="20"/>
              </w:rPr>
            </w:pPr>
            <w:r>
              <w:rPr>
                <w:sz w:val="20"/>
                <w:szCs w:val="20"/>
              </w:rPr>
              <w:t>A</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5A8A9044" w14:textId="77777777" w:rsidR="00BD2835" w:rsidRPr="00D753FF" w:rsidRDefault="00BD2835" w:rsidP="00BD2835">
            <w:pPr>
              <w:spacing w:before="60" w:after="60"/>
              <w:jc w:val="center"/>
              <w:rPr>
                <w:sz w:val="20"/>
                <w:szCs w:val="20"/>
              </w:rPr>
            </w:pPr>
            <w:r>
              <w:rPr>
                <w:sz w:val="20"/>
                <w:szCs w:val="20"/>
              </w:rPr>
              <w:t>A</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10CD6D94" w14:textId="77777777" w:rsidR="00BD2835" w:rsidRPr="00D753FF"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33F17752" w14:textId="77777777" w:rsidR="00BD2835" w:rsidRPr="00D753FF"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517B533D" w14:textId="77777777" w:rsidR="00BD2835" w:rsidRPr="00D753FF" w:rsidRDefault="00BD2835" w:rsidP="00BD2835">
            <w:pPr>
              <w:spacing w:before="60" w:after="60"/>
              <w:jc w:val="center"/>
              <w:rPr>
                <w:sz w:val="20"/>
                <w:szCs w:val="20"/>
              </w:rPr>
            </w:pPr>
            <w:r>
              <w:rPr>
                <w:sz w:val="20"/>
                <w:szCs w:val="20"/>
              </w:rPr>
              <w:t>A</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03352BD2" w14:textId="77777777" w:rsidR="00BD2835" w:rsidRPr="00D753FF" w:rsidRDefault="00BD2835" w:rsidP="00BD2835">
            <w:pPr>
              <w:spacing w:before="60" w:after="60"/>
              <w:jc w:val="center"/>
              <w:rPr>
                <w:sz w:val="20"/>
                <w:szCs w:val="20"/>
              </w:rPr>
            </w:pPr>
            <w:r>
              <w:rPr>
                <w:sz w:val="20"/>
                <w:szCs w:val="20"/>
              </w:rPr>
              <w:t>A</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29DED6E8" w14:textId="77777777" w:rsidR="00BD2835" w:rsidRPr="00D753FF" w:rsidRDefault="00BD2835" w:rsidP="00BD2835">
            <w:pPr>
              <w:spacing w:before="60" w:after="60"/>
              <w:jc w:val="center"/>
              <w:rPr>
                <w:sz w:val="20"/>
                <w:szCs w:val="20"/>
              </w:rPr>
            </w:pP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64E73DED" w14:textId="77777777" w:rsidR="00BD2835" w:rsidRPr="00D753FF" w:rsidRDefault="00BD2835" w:rsidP="00BD2835">
            <w:pPr>
              <w:spacing w:before="60" w:after="60"/>
              <w:jc w:val="center"/>
              <w:rPr>
                <w:sz w:val="20"/>
                <w:szCs w:val="20"/>
              </w:rPr>
            </w:pPr>
          </w:p>
        </w:tc>
        <w:tc>
          <w:tcPr>
            <w:tcW w:w="918" w:type="dxa"/>
            <w:tcBorders>
              <w:top w:val="single" w:sz="12" w:space="0" w:color="000000" w:themeColor="text1"/>
              <w:left w:val="single" w:sz="12" w:space="0" w:color="000000" w:themeColor="text1"/>
              <w:bottom w:val="single" w:sz="12" w:space="0" w:color="000000" w:themeColor="text1"/>
            </w:tcBorders>
            <w:vAlign w:val="center"/>
          </w:tcPr>
          <w:p w14:paraId="163F8E0F" w14:textId="77777777" w:rsidR="00BD2835" w:rsidRPr="00D753FF" w:rsidRDefault="00BD2835" w:rsidP="00BD2835">
            <w:pPr>
              <w:spacing w:before="60" w:after="60"/>
              <w:jc w:val="center"/>
              <w:rPr>
                <w:sz w:val="20"/>
                <w:szCs w:val="20"/>
              </w:rPr>
            </w:pPr>
          </w:p>
        </w:tc>
      </w:tr>
    </w:tbl>
    <w:p w14:paraId="7D85FAEC" w14:textId="77777777" w:rsidR="00BD2835" w:rsidRDefault="00BD2835" w:rsidP="00BD2835">
      <w:pPr>
        <w:jc w:val="right"/>
      </w:pPr>
    </w:p>
    <w:p w14:paraId="17F8218E" w14:textId="77777777" w:rsidR="00BD2835" w:rsidRPr="00A04531" w:rsidRDefault="00BD2835" w:rsidP="00BD2835">
      <w:pPr>
        <w:pStyle w:val="ListParagraph"/>
      </w:pPr>
      <w:r>
        <w:t>*University of Sioux Falls and Greenville University used the old principles -they have been aligned with the new principles in order to facilitate a meaningful decision review.</w:t>
      </w:r>
    </w:p>
    <w:p w14:paraId="257FB3A9" w14:textId="77777777" w:rsidR="00BD2835" w:rsidRDefault="00BD2835" w:rsidP="00E263C3">
      <w:pPr>
        <w:jc w:val="center"/>
        <w:rPr>
          <w:b/>
          <w:sz w:val="28"/>
          <w:szCs w:val="28"/>
        </w:rPr>
      </w:pPr>
      <w:r>
        <w:rPr>
          <w:b/>
          <w:sz w:val="28"/>
          <w:szCs w:val="28"/>
        </w:rPr>
        <w:br/>
      </w:r>
    </w:p>
    <w:p w14:paraId="65F60B85" w14:textId="77777777" w:rsidR="00BD2835" w:rsidRDefault="00BD2835">
      <w:pPr>
        <w:rPr>
          <w:b/>
          <w:sz w:val="28"/>
          <w:szCs w:val="28"/>
        </w:rPr>
      </w:pPr>
      <w:r>
        <w:rPr>
          <w:b/>
          <w:sz w:val="28"/>
          <w:szCs w:val="28"/>
        </w:rPr>
        <w:br w:type="page"/>
      </w:r>
    </w:p>
    <w:p w14:paraId="7288AC99" w14:textId="2F1C264C" w:rsidR="00E263C3" w:rsidRDefault="00E263C3" w:rsidP="00E263C3">
      <w:pPr>
        <w:jc w:val="center"/>
        <w:rPr>
          <w:b/>
          <w:sz w:val="28"/>
          <w:szCs w:val="28"/>
        </w:rPr>
      </w:pPr>
      <w:r w:rsidRPr="00BB32C2">
        <w:rPr>
          <w:b/>
          <w:sz w:val="28"/>
          <w:szCs w:val="28"/>
        </w:rPr>
        <w:lastRenderedPageBreak/>
        <w:t>Requirements for New Program Self-Study</w:t>
      </w:r>
      <w:r>
        <w:rPr>
          <w:b/>
          <w:sz w:val="28"/>
          <w:szCs w:val="28"/>
        </w:rPr>
        <w:t>*</w:t>
      </w:r>
    </w:p>
    <w:tbl>
      <w:tblPr>
        <w:tblStyle w:val="TableGrid"/>
        <w:tblW w:w="14102" w:type="dxa"/>
        <w:tblLook w:val="04A0" w:firstRow="1" w:lastRow="0" w:firstColumn="1" w:lastColumn="0" w:noHBand="0" w:noVBand="1"/>
      </w:tblPr>
      <w:tblGrid>
        <w:gridCol w:w="3096"/>
        <w:gridCol w:w="4369"/>
        <w:gridCol w:w="2490"/>
        <w:gridCol w:w="1078"/>
        <w:gridCol w:w="915"/>
        <w:gridCol w:w="1078"/>
        <w:gridCol w:w="1076"/>
      </w:tblGrid>
      <w:tr w:rsidR="00E263C3" w14:paraId="083758DC" w14:textId="77777777" w:rsidTr="00BD2835">
        <w:tc>
          <w:tcPr>
            <w:tcW w:w="3240" w:type="dxa"/>
          </w:tcPr>
          <w:p w14:paraId="00526F42" w14:textId="77777777" w:rsidR="00E263C3" w:rsidRDefault="00E263C3" w:rsidP="00BD2835">
            <w:r>
              <w:t xml:space="preserve">Self-Study Manual </w:t>
            </w:r>
          </w:p>
        </w:tc>
        <w:tc>
          <w:tcPr>
            <w:tcW w:w="4675" w:type="dxa"/>
          </w:tcPr>
          <w:p w14:paraId="7582EC3F" w14:textId="77777777" w:rsidR="00E263C3" w:rsidRDefault="00E263C3" w:rsidP="00BD2835">
            <w:r>
              <w:t xml:space="preserve">New Program Requirement </w:t>
            </w:r>
          </w:p>
          <w:p w14:paraId="3AAE32B6" w14:textId="77777777" w:rsidR="00E263C3" w:rsidRDefault="00E263C3" w:rsidP="00BD2835">
            <w:r>
              <w:t>(Principle provided for reference only)</w:t>
            </w:r>
          </w:p>
        </w:tc>
        <w:tc>
          <w:tcPr>
            <w:tcW w:w="2610" w:type="dxa"/>
          </w:tcPr>
          <w:p w14:paraId="47DC41B7" w14:textId="77777777" w:rsidR="00E263C3" w:rsidRDefault="00E263C3" w:rsidP="00BD2835">
            <w:r>
              <w:t>Required Table</w:t>
            </w:r>
          </w:p>
        </w:tc>
        <w:tc>
          <w:tcPr>
            <w:tcW w:w="900" w:type="dxa"/>
            <w:vAlign w:val="center"/>
          </w:tcPr>
          <w:p w14:paraId="67D1DBE6" w14:textId="77777777" w:rsidR="00E263C3" w:rsidRDefault="00E263C3" w:rsidP="00BD2835">
            <w:pPr>
              <w:jc w:val="center"/>
            </w:pPr>
            <w:r>
              <w:t>Staff Review</w:t>
            </w:r>
          </w:p>
        </w:tc>
        <w:tc>
          <w:tcPr>
            <w:tcW w:w="900" w:type="dxa"/>
            <w:vAlign w:val="center"/>
          </w:tcPr>
          <w:p w14:paraId="78EDFF43" w14:textId="77777777" w:rsidR="00E263C3" w:rsidRDefault="00E263C3" w:rsidP="00BD2835">
            <w:pPr>
              <w:jc w:val="center"/>
            </w:pPr>
            <w:r>
              <w:t>Fast Track</w:t>
            </w:r>
          </w:p>
        </w:tc>
        <w:tc>
          <w:tcPr>
            <w:tcW w:w="900" w:type="dxa"/>
            <w:vAlign w:val="center"/>
          </w:tcPr>
          <w:p w14:paraId="5D669F14" w14:textId="77777777" w:rsidR="00E263C3" w:rsidRDefault="00E263C3" w:rsidP="00BD2835">
            <w:pPr>
              <w:jc w:val="center"/>
            </w:pPr>
            <w:r>
              <w:t>Full Review</w:t>
            </w:r>
          </w:p>
        </w:tc>
        <w:tc>
          <w:tcPr>
            <w:tcW w:w="877" w:type="dxa"/>
            <w:vAlign w:val="center"/>
          </w:tcPr>
          <w:p w14:paraId="44F1B847" w14:textId="77777777" w:rsidR="00E263C3" w:rsidRDefault="00E263C3" w:rsidP="00BD2835">
            <w:pPr>
              <w:jc w:val="center"/>
            </w:pPr>
            <w:r>
              <w:t>New Degree Level</w:t>
            </w:r>
          </w:p>
        </w:tc>
      </w:tr>
      <w:tr w:rsidR="00E263C3" w14:paraId="1BEAAC2A" w14:textId="77777777" w:rsidTr="00BD2835">
        <w:tc>
          <w:tcPr>
            <w:tcW w:w="3240" w:type="dxa"/>
          </w:tcPr>
          <w:p w14:paraId="4E5893F6" w14:textId="77777777" w:rsidR="00E263C3" w:rsidRDefault="00E263C3" w:rsidP="00BD2835">
            <w:r>
              <w:t>Organizational and Programmatic Profile</w:t>
            </w:r>
          </w:p>
        </w:tc>
        <w:tc>
          <w:tcPr>
            <w:tcW w:w="4675" w:type="dxa"/>
          </w:tcPr>
          <w:p w14:paraId="37312C5E" w14:textId="77777777" w:rsidR="00E263C3" w:rsidRDefault="00E263C3" w:rsidP="00BD2835">
            <w:pPr>
              <w:ind w:left="256" w:hanging="256"/>
            </w:pPr>
          </w:p>
        </w:tc>
        <w:tc>
          <w:tcPr>
            <w:tcW w:w="2610" w:type="dxa"/>
          </w:tcPr>
          <w:p w14:paraId="747FF07B" w14:textId="77777777" w:rsidR="00E263C3" w:rsidRDefault="00E263C3" w:rsidP="00BD2835">
            <w:r>
              <w:t xml:space="preserve">OPP-1, OPP-2, OPP-4 and OPP-6 </w:t>
            </w:r>
          </w:p>
          <w:p w14:paraId="6B3992D2" w14:textId="77777777" w:rsidR="00E263C3" w:rsidRDefault="00E263C3" w:rsidP="00BD2835">
            <w:r>
              <w:t>(only for New Program)</w:t>
            </w:r>
          </w:p>
        </w:tc>
        <w:tc>
          <w:tcPr>
            <w:tcW w:w="900" w:type="dxa"/>
            <w:vAlign w:val="center"/>
          </w:tcPr>
          <w:p w14:paraId="1AC2711C" w14:textId="77777777" w:rsidR="00E263C3" w:rsidRDefault="00E263C3" w:rsidP="00BD2835">
            <w:pPr>
              <w:jc w:val="center"/>
            </w:pPr>
          </w:p>
        </w:tc>
        <w:tc>
          <w:tcPr>
            <w:tcW w:w="900" w:type="dxa"/>
            <w:vAlign w:val="center"/>
          </w:tcPr>
          <w:p w14:paraId="307A0B86" w14:textId="77777777" w:rsidR="00E263C3" w:rsidRDefault="00E263C3" w:rsidP="00BD2835">
            <w:pPr>
              <w:jc w:val="center"/>
            </w:pPr>
            <w:r>
              <w:t>X</w:t>
            </w:r>
          </w:p>
        </w:tc>
        <w:tc>
          <w:tcPr>
            <w:tcW w:w="900" w:type="dxa"/>
            <w:vAlign w:val="center"/>
          </w:tcPr>
          <w:p w14:paraId="5518F10A" w14:textId="77777777" w:rsidR="00E263C3" w:rsidRDefault="00E263C3" w:rsidP="00BD2835">
            <w:pPr>
              <w:jc w:val="center"/>
            </w:pPr>
            <w:r>
              <w:t>X</w:t>
            </w:r>
          </w:p>
        </w:tc>
        <w:tc>
          <w:tcPr>
            <w:tcW w:w="877" w:type="dxa"/>
            <w:vAlign w:val="center"/>
          </w:tcPr>
          <w:p w14:paraId="38E3F2E9" w14:textId="77777777" w:rsidR="00E263C3" w:rsidRDefault="00E263C3" w:rsidP="00BD2835">
            <w:pPr>
              <w:jc w:val="center"/>
            </w:pPr>
            <w:r>
              <w:t>X</w:t>
            </w:r>
          </w:p>
        </w:tc>
      </w:tr>
      <w:tr w:rsidR="00E263C3" w14:paraId="39B74CAD" w14:textId="77777777" w:rsidTr="00BD2835">
        <w:tc>
          <w:tcPr>
            <w:tcW w:w="3240" w:type="dxa"/>
          </w:tcPr>
          <w:p w14:paraId="14DB80BB" w14:textId="77777777" w:rsidR="00E263C3" w:rsidRDefault="00E263C3" w:rsidP="00BD2835">
            <w:r>
              <w:t>Principle 3: Strategic Planning</w:t>
            </w:r>
          </w:p>
        </w:tc>
        <w:tc>
          <w:tcPr>
            <w:tcW w:w="4675" w:type="dxa"/>
          </w:tcPr>
          <w:p w14:paraId="43E6459F" w14:textId="77777777" w:rsidR="00E263C3" w:rsidRDefault="00E263C3" w:rsidP="00BD2835">
            <w:pPr>
              <w:ind w:left="256" w:hanging="256"/>
            </w:pPr>
            <w:r>
              <w:t>Principle 3.1</w:t>
            </w:r>
            <w:r>
              <w:br/>
              <w:t>Describe how the new program is aligned with the mission and goals of the academic business unit.</w:t>
            </w:r>
          </w:p>
        </w:tc>
        <w:tc>
          <w:tcPr>
            <w:tcW w:w="2610" w:type="dxa"/>
          </w:tcPr>
          <w:p w14:paraId="7409CDBC" w14:textId="77777777" w:rsidR="00E263C3" w:rsidRDefault="00E263C3" w:rsidP="00BD2835"/>
        </w:tc>
        <w:tc>
          <w:tcPr>
            <w:tcW w:w="900" w:type="dxa"/>
            <w:vAlign w:val="center"/>
          </w:tcPr>
          <w:p w14:paraId="3726917F" w14:textId="77777777" w:rsidR="00E263C3" w:rsidRDefault="00E263C3" w:rsidP="00BD2835">
            <w:pPr>
              <w:jc w:val="center"/>
            </w:pPr>
          </w:p>
        </w:tc>
        <w:tc>
          <w:tcPr>
            <w:tcW w:w="900" w:type="dxa"/>
            <w:vAlign w:val="center"/>
          </w:tcPr>
          <w:p w14:paraId="5DA873B3" w14:textId="77777777" w:rsidR="00E263C3" w:rsidRDefault="00E263C3" w:rsidP="00BD2835">
            <w:pPr>
              <w:jc w:val="center"/>
            </w:pPr>
          </w:p>
        </w:tc>
        <w:tc>
          <w:tcPr>
            <w:tcW w:w="900" w:type="dxa"/>
            <w:vAlign w:val="center"/>
          </w:tcPr>
          <w:p w14:paraId="226B8D92" w14:textId="77777777" w:rsidR="00E263C3" w:rsidRDefault="00E263C3" w:rsidP="00BD2835">
            <w:pPr>
              <w:jc w:val="center"/>
            </w:pPr>
          </w:p>
        </w:tc>
        <w:tc>
          <w:tcPr>
            <w:tcW w:w="877" w:type="dxa"/>
            <w:vAlign w:val="center"/>
          </w:tcPr>
          <w:p w14:paraId="1322D0F7" w14:textId="77777777" w:rsidR="00E263C3" w:rsidRDefault="00E263C3" w:rsidP="00BD2835">
            <w:pPr>
              <w:jc w:val="center"/>
            </w:pPr>
            <w:r>
              <w:t>X</w:t>
            </w:r>
          </w:p>
        </w:tc>
      </w:tr>
      <w:tr w:rsidR="00E263C3" w14:paraId="59833019" w14:textId="77777777" w:rsidTr="00BD2835">
        <w:tc>
          <w:tcPr>
            <w:tcW w:w="3240" w:type="dxa"/>
          </w:tcPr>
          <w:p w14:paraId="4805647C" w14:textId="77777777" w:rsidR="00E263C3" w:rsidRDefault="00E263C3" w:rsidP="00BD2835">
            <w:r>
              <w:t>Principle 2: Quality Assessment and Advancement</w:t>
            </w:r>
          </w:p>
          <w:p w14:paraId="11ECC882" w14:textId="77777777" w:rsidR="00E263C3" w:rsidRDefault="00E263C3" w:rsidP="00BD2835"/>
        </w:tc>
        <w:tc>
          <w:tcPr>
            <w:tcW w:w="4675" w:type="dxa"/>
          </w:tcPr>
          <w:p w14:paraId="43D4E670" w14:textId="77777777" w:rsidR="00E263C3" w:rsidRDefault="00E263C3" w:rsidP="00BD2835">
            <w:pPr>
              <w:ind w:left="256" w:hanging="256"/>
            </w:pPr>
            <w:r>
              <w:t>Principle 2.1 items 1, 2, and 3</w:t>
            </w:r>
            <w:r>
              <w:br/>
              <w:t>Provide a copy of the outcomes assessment plan for the new program.</w:t>
            </w:r>
          </w:p>
          <w:p w14:paraId="59992DE7" w14:textId="77777777" w:rsidR="00E263C3" w:rsidRDefault="00E263C3" w:rsidP="00BD2835">
            <w:pPr>
              <w:ind w:left="256" w:hanging="256"/>
            </w:pPr>
            <w:r>
              <w:t>Principle 2.2 item 1</w:t>
            </w:r>
            <w:r>
              <w:br/>
              <w:t>Provide at least one complete set of outcomes assessment results for each new program.</w:t>
            </w:r>
          </w:p>
        </w:tc>
        <w:tc>
          <w:tcPr>
            <w:tcW w:w="2610" w:type="dxa"/>
          </w:tcPr>
          <w:p w14:paraId="6482E13D" w14:textId="77777777" w:rsidR="00E263C3" w:rsidRDefault="00E263C3" w:rsidP="00BD2835">
            <w:r>
              <w:t>Table 2-1 and Table 2-3</w:t>
            </w:r>
          </w:p>
        </w:tc>
        <w:tc>
          <w:tcPr>
            <w:tcW w:w="900" w:type="dxa"/>
            <w:vAlign w:val="center"/>
          </w:tcPr>
          <w:p w14:paraId="0C07D7B3" w14:textId="77777777" w:rsidR="00E263C3" w:rsidRDefault="00E263C3" w:rsidP="00BD2835">
            <w:pPr>
              <w:jc w:val="center"/>
            </w:pPr>
            <w:r>
              <w:t>X</w:t>
            </w:r>
          </w:p>
        </w:tc>
        <w:tc>
          <w:tcPr>
            <w:tcW w:w="900" w:type="dxa"/>
            <w:vAlign w:val="center"/>
          </w:tcPr>
          <w:p w14:paraId="23EAAF24" w14:textId="77777777" w:rsidR="00E263C3" w:rsidRDefault="00E263C3" w:rsidP="00BD2835">
            <w:pPr>
              <w:jc w:val="center"/>
            </w:pPr>
            <w:r>
              <w:t>X</w:t>
            </w:r>
          </w:p>
        </w:tc>
        <w:tc>
          <w:tcPr>
            <w:tcW w:w="900" w:type="dxa"/>
            <w:vAlign w:val="center"/>
          </w:tcPr>
          <w:p w14:paraId="7D4DCBFF" w14:textId="77777777" w:rsidR="00E263C3" w:rsidRDefault="00E263C3" w:rsidP="00BD2835">
            <w:pPr>
              <w:jc w:val="center"/>
            </w:pPr>
            <w:r>
              <w:t>X</w:t>
            </w:r>
          </w:p>
        </w:tc>
        <w:tc>
          <w:tcPr>
            <w:tcW w:w="877" w:type="dxa"/>
            <w:vAlign w:val="center"/>
          </w:tcPr>
          <w:p w14:paraId="2C97E043" w14:textId="77777777" w:rsidR="00E263C3" w:rsidRDefault="00E263C3" w:rsidP="00BD2835">
            <w:pPr>
              <w:jc w:val="center"/>
            </w:pPr>
            <w:r>
              <w:t>X</w:t>
            </w:r>
          </w:p>
        </w:tc>
      </w:tr>
      <w:tr w:rsidR="00E263C3" w14:paraId="00272901" w14:textId="77777777" w:rsidTr="00BD2835">
        <w:tc>
          <w:tcPr>
            <w:tcW w:w="3240" w:type="dxa"/>
          </w:tcPr>
          <w:p w14:paraId="18D90D0B" w14:textId="77777777" w:rsidR="00E263C3" w:rsidRDefault="00E263C3" w:rsidP="00BD2835">
            <w:r>
              <w:t>Principle 4: Business Curricula and Learning Opportunities</w:t>
            </w:r>
          </w:p>
        </w:tc>
        <w:tc>
          <w:tcPr>
            <w:tcW w:w="4675" w:type="dxa"/>
          </w:tcPr>
          <w:p w14:paraId="59D6304B" w14:textId="77777777" w:rsidR="00E263C3" w:rsidRDefault="00E263C3" w:rsidP="00BD2835">
            <w:pPr>
              <w:ind w:left="256" w:hanging="256"/>
            </w:pPr>
            <w:r>
              <w:t>Principle 4.2, 4.3, or 4.4</w:t>
            </w:r>
            <w:r>
              <w:br/>
              <w:t>Provide curricular information for each new program.</w:t>
            </w:r>
          </w:p>
        </w:tc>
        <w:tc>
          <w:tcPr>
            <w:tcW w:w="2610" w:type="dxa"/>
          </w:tcPr>
          <w:p w14:paraId="09078A29" w14:textId="77777777" w:rsidR="00E263C3" w:rsidRDefault="00E263C3" w:rsidP="00BD2835">
            <w:r>
              <w:t>As applicable:</w:t>
            </w:r>
          </w:p>
          <w:p w14:paraId="014C035E" w14:textId="77777777" w:rsidR="00E263C3" w:rsidRDefault="00E263C3" w:rsidP="00BD2835">
            <w:r>
              <w:t>Table 4.3, 4.4, 4.5</w:t>
            </w:r>
          </w:p>
        </w:tc>
        <w:tc>
          <w:tcPr>
            <w:tcW w:w="900" w:type="dxa"/>
            <w:vAlign w:val="center"/>
          </w:tcPr>
          <w:p w14:paraId="5C29D0AA" w14:textId="77777777" w:rsidR="00E263C3" w:rsidRDefault="00E263C3" w:rsidP="00BD2835">
            <w:pPr>
              <w:jc w:val="center"/>
            </w:pPr>
          </w:p>
        </w:tc>
        <w:tc>
          <w:tcPr>
            <w:tcW w:w="900" w:type="dxa"/>
            <w:vAlign w:val="center"/>
          </w:tcPr>
          <w:p w14:paraId="4B36E758" w14:textId="77777777" w:rsidR="00E263C3" w:rsidRDefault="00E263C3" w:rsidP="00BD2835">
            <w:pPr>
              <w:jc w:val="center"/>
            </w:pPr>
            <w:r>
              <w:t>X</w:t>
            </w:r>
          </w:p>
        </w:tc>
        <w:tc>
          <w:tcPr>
            <w:tcW w:w="900" w:type="dxa"/>
            <w:vAlign w:val="center"/>
          </w:tcPr>
          <w:p w14:paraId="1455FB41" w14:textId="77777777" w:rsidR="00E263C3" w:rsidRDefault="00E263C3" w:rsidP="00BD2835">
            <w:pPr>
              <w:jc w:val="center"/>
            </w:pPr>
            <w:r>
              <w:t>X</w:t>
            </w:r>
          </w:p>
        </w:tc>
        <w:tc>
          <w:tcPr>
            <w:tcW w:w="877" w:type="dxa"/>
            <w:vAlign w:val="center"/>
          </w:tcPr>
          <w:p w14:paraId="4194AFC0" w14:textId="77777777" w:rsidR="00E263C3" w:rsidRDefault="00E263C3" w:rsidP="00BD2835">
            <w:pPr>
              <w:jc w:val="center"/>
            </w:pPr>
            <w:r>
              <w:t>X</w:t>
            </w:r>
          </w:p>
        </w:tc>
      </w:tr>
      <w:tr w:rsidR="00E263C3" w14:paraId="66293F73" w14:textId="77777777" w:rsidTr="00BD2835">
        <w:tc>
          <w:tcPr>
            <w:tcW w:w="3240" w:type="dxa"/>
          </w:tcPr>
          <w:p w14:paraId="795CAD14" w14:textId="77777777" w:rsidR="00E263C3" w:rsidRDefault="00E263C3" w:rsidP="00BD2835">
            <w:r>
              <w:t>Principle 5: Business Faculty Characteristics, Activities, and Processes</w:t>
            </w:r>
          </w:p>
        </w:tc>
        <w:tc>
          <w:tcPr>
            <w:tcW w:w="4675" w:type="dxa"/>
          </w:tcPr>
          <w:p w14:paraId="7368CE6D" w14:textId="77777777" w:rsidR="00E263C3" w:rsidRDefault="00E263C3" w:rsidP="00BD2835">
            <w:pPr>
              <w:ind w:left="256" w:hanging="256"/>
            </w:pPr>
            <w:r>
              <w:t>Principle 5.1, 5.2, and 5.3</w:t>
            </w:r>
            <w:r>
              <w:br/>
              <w:t>Provide faculty information for all faculty who are involved in instruction for the new program.</w:t>
            </w:r>
          </w:p>
        </w:tc>
        <w:tc>
          <w:tcPr>
            <w:tcW w:w="2610" w:type="dxa"/>
          </w:tcPr>
          <w:p w14:paraId="16C4250F" w14:textId="77777777" w:rsidR="00E263C3" w:rsidRDefault="00E263C3" w:rsidP="00BD2835"/>
        </w:tc>
        <w:tc>
          <w:tcPr>
            <w:tcW w:w="900" w:type="dxa"/>
            <w:vAlign w:val="center"/>
          </w:tcPr>
          <w:p w14:paraId="7DCE74DB" w14:textId="77777777" w:rsidR="00E263C3" w:rsidRDefault="00E263C3" w:rsidP="00BD2835">
            <w:pPr>
              <w:jc w:val="center"/>
            </w:pPr>
          </w:p>
        </w:tc>
        <w:tc>
          <w:tcPr>
            <w:tcW w:w="900" w:type="dxa"/>
            <w:vAlign w:val="center"/>
          </w:tcPr>
          <w:p w14:paraId="7465EF8A" w14:textId="77777777" w:rsidR="00E263C3" w:rsidRDefault="00E263C3" w:rsidP="00BD2835">
            <w:pPr>
              <w:jc w:val="center"/>
            </w:pPr>
          </w:p>
        </w:tc>
        <w:tc>
          <w:tcPr>
            <w:tcW w:w="900" w:type="dxa"/>
            <w:vAlign w:val="center"/>
          </w:tcPr>
          <w:p w14:paraId="05A37640" w14:textId="77777777" w:rsidR="00E263C3" w:rsidRDefault="00E263C3" w:rsidP="00BD2835">
            <w:pPr>
              <w:jc w:val="center"/>
            </w:pPr>
            <w:r>
              <w:t>X</w:t>
            </w:r>
          </w:p>
        </w:tc>
        <w:tc>
          <w:tcPr>
            <w:tcW w:w="877" w:type="dxa"/>
            <w:vAlign w:val="center"/>
          </w:tcPr>
          <w:p w14:paraId="6AFC2520" w14:textId="77777777" w:rsidR="00E263C3" w:rsidRDefault="00E263C3" w:rsidP="00BD2835">
            <w:pPr>
              <w:jc w:val="center"/>
            </w:pPr>
            <w:r>
              <w:t>X</w:t>
            </w:r>
          </w:p>
        </w:tc>
      </w:tr>
      <w:tr w:rsidR="00E263C3" w14:paraId="241A146A" w14:textId="77777777" w:rsidTr="00BD2835">
        <w:tc>
          <w:tcPr>
            <w:tcW w:w="3240" w:type="dxa"/>
          </w:tcPr>
          <w:p w14:paraId="5773FE4F" w14:textId="77777777" w:rsidR="00E263C3" w:rsidRDefault="00E263C3" w:rsidP="00BD2835">
            <w:r>
              <w:t>Principle 6: Student Policies, Procedures, and Processes</w:t>
            </w:r>
          </w:p>
        </w:tc>
        <w:tc>
          <w:tcPr>
            <w:tcW w:w="4675" w:type="dxa"/>
          </w:tcPr>
          <w:p w14:paraId="17F00D3F" w14:textId="77777777" w:rsidR="00E263C3" w:rsidRDefault="00E263C3" w:rsidP="00BD2835">
            <w:pPr>
              <w:ind w:left="256" w:hanging="256"/>
            </w:pPr>
            <w:r>
              <w:t>Principle 6.1, 6.2, and 6.3</w:t>
            </w:r>
            <w:r>
              <w:br/>
              <w:t>Identify any differences in the student policies, procedures and processes that apply to the new program.</w:t>
            </w:r>
          </w:p>
        </w:tc>
        <w:tc>
          <w:tcPr>
            <w:tcW w:w="2610" w:type="dxa"/>
          </w:tcPr>
          <w:p w14:paraId="6F38D69E" w14:textId="77777777" w:rsidR="00E263C3" w:rsidRDefault="00E263C3" w:rsidP="00BD2835"/>
        </w:tc>
        <w:tc>
          <w:tcPr>
            <w:tcW w:w="900" w:type="dxa"/>
            <w:vAlign w:val="center"/>
          </w:tcPr>
          <w:p w14:paraId="728E5618" w14:textId="77777777" w:rsidR="00E263C3" w:rsidRDefault="00E263C3" w:rsidP="00BD2835">
            <w:pPr>
              <w:jc w:val="center"/>
            </w:pPr>
          </w:p>
        </w:tc>
        <w:tc>
          <w:tcPr>
            <w:tcW w:w="900" w:type="dxa"/>
            <w:vAlign w:val="center"/>
          </w:tcPr>
          <w:p w14:paraId="5989C9BC" w14:textId="77777777" w:rsidR="00E263C3" w:rsidRDefault="00E263C3" w:rsidP="00BD2835">
            <w:pPr>
              <w:jc w:val="center"/>
            </w:pPr>
          </w:p>
        </w:tc>
        <w:tc>
          <w:tcPr>
            <w:tcW w:w="900" w:type="dxa"/>
            <w:vAlign w:val="center"/>
          </w:tcPr>
          <w:p w14:paraId="160D043F" w14:textId="77777777" w:rsidR="00E263C3" w:rsidRDefault="00E263C3" w:rsidP="00BD2835">
            <w:pPr>
              <w:jc w:val="center"/>
            </w:pPr>
          </w:p>
        </w:tc>
        <w:tc>
          <w:tcPr>
            <w:tcW w:w="877" w:type="dxa"/>
            <w:vAlign w:val="center"/>
          </w:tcPr>
          <w:p w14:paraId="0C689B4A" w14:textId="77777777" w:rsidR="00E263C3" w:rsidRDefault="00E263C3" w:rsidP="00BD2835">
            <w:pPr>
              <w:jc w:val="center"/>
            </w:pPr>
            <w:r>
              <w:t>X</w:t>
            </w:r>
          </w:p>
        </w:tc>
      </w:tr>
      <w:tr w:rsidR="00E263C3" w14:paraId="54E318A0" w14:textId="77777777" w:rsidTr="00BD2835">
        <w:tc>
          <w:tcPr>
            <w:tcW w:w="3240" w:type="dxa"/>
          </w:tcPr>
          <w:p w14:paraId="178DF8A2" w14:textId="77777777" w:rsidR="00E263C3" w:rsidRDefault="00E263C3" w:rsidP="00BD2835">
            <w:r>
              <w:t>Principle 7: Resources Supporting Business Programs</w:t>
            </w:r>
          </w:p>
        </w:tc>
        <w:tc>
          <w:tcPr>
            <w:tcW w:w="4675" w:type="dxa"/>
          </w:tcPr>
          <w:p w14:paraId="3C881553" w14:textId="77777777" w:rsidR="00E263C3" w:rsidRDefault="00E263C3" w:rsidP="00BD2835">
            <w:pPr>
              <w:ind w:left="256" w:hanging="256"/>
            </w:pPr>
            <w:r>
              <w:t>Principle 7.1, 7.3, and 7.4</w:t>
            </w:r>
            <w:r>
              <w:br/>
              <w:t>Identify any additional resources that support the new program.</w:t>
            </w:r>
          </w:p>
        </w:tc>
        <w:tc>
          <w:tcPr>
            <w:tcW w:w="2610" w:type="dxa"/>
          </w:tcPr>
          <w:p w14:paraId="4BA6ED04" w14:textId="77777777" w:rsidR="00E263C3" w:rsidRDefault="00E263C3" w:rsidP="00BD2835"/>
        </w:tc>
        <w:tc>
          <w:tcPr>
            <w:tcW w:w="900" w:type="dxa"/>
            <w:vAlign w:val="center"/>
          </w:tcPr>
          <w:p w14:paraId="5DDF8074" w14:textId="77777777" w:rsidR="00E263C3" w:rsidRDefault="00E263C3" w:rsidP="00BD2835">
            <w:pPr>
              <w:jc w:val="center"/>
            </w:pPr>
          </w:p>
        </w:tc>
        <w:tc>
          <w:tcPr>
            <w:tcW w:w="900" w:type="dxa"/>
            <w:vAlign w:val="center"/>
          </w:tcPr>
          <w:p w14:paraId="624FBF5A" w14:textId="77777777" w:rsidR="00E263C3" w:rsidRDefault="00E263C3" w:rsidP="00BD2835">
            <w:pPr>
              <w:jc w:val="center"/>
            </w:pPr>
          </w:p>
        </w:tc>
        <w:tc>
          <w:tcPr>
            <w:tcW w:w="900" w:type="dxa"/>
            <w:vAlign w:val="center"/>
          </w:tcPr>
          <w:p w14:paraId="286CB80A" w14:textId="77777777" w:rsidR="00E263C3" w:rsidRDefault="00E263C3" w:rsidP="00BD2835">
            <w:pPr>
              <w:jc w:val="center"/>
            </w:pPr>
          </w:p>
        </w:tc>
        <w:tc>
          <w:tcPr>
            <w:tcW w:w="877" w:type="dxa"/>
            <w:vAlign w:val="center"/>
          </w:tcPr>
          <w:p w14:paraId="6DDD1107" w14:textId="77777777" w:rsidR="00E263C3" w:rsidRDefault="00E263C3" w:rsidP="00BD2835">
            <w:pPr>
              <w:jc w:val="center"/>
            </w:pPr>
            <w:r>
              <w:t>X</w:t>
            </w:r>
          </w:p>
        </w:tc>
      </w:tr>
      <w:tr w:rsidR="00E263C3" w14:paraId="670391B8" w14:textId="77777777" w:rsidTr="00BD2835">
        <w:tc>
          <w:tcPr>
            <w:tcW w:w="3240" w:type="dxa"/>
          </w:tcPr>
          <w:p w14:paraId="27349F4C" w14:textId="77777777" w:rsidR="00E263C3" w:rsidRDefault="00E263C3" w:rsidP="00BD2835">
            <w:r>
              <w:lastRenderedPageBreak/>
              <w:t>Principle 8: External Relationships</w:t>
            </w:r>
          </w:p>
        </w:tc>
        <w:tc>
          <w:tcPr>
            <w:tcW w:w="4675" w:type="dxa"/>
          </w:tcPr>
          <w:p w14:paraId="28CFF30A" w14:textId="77777777" w:rsidR="00E263C3" w:rsidRDefault="00E263C3" w:rsidP="00BD2835">
            <w:pPr>
              <w:ind w:left="256" w:hanging="256"/>
            </w:pPr>
            <w:r>
              <w:t>Principle 8.1 and 8.2</w:t>
            </w:r>
            <w:r>
              <w:br/>
              <w:t>Identify any additional external linkages to support the new program.</w:t>
            </w:r>
          </w:p>
        </w:tc>
        <w:tc>
          <w:tcPr>
            <w:tcW w:w="2610" w:type="dxa"/>
          </w:tcPr>
          <w:p w14:paraId="4CAB8499" w14:textId="77777777" w:rsidR="00E263C3" w:rsidRDefault="00E263C3" w:rsidP="00BD2835"/>
        </w:tc>
        <w:tc>
          <w:tcPr>
            <w:tcW w:w="900" w:type="dxa"/>
          </w:tcPr>
          <w:p w14:paraId="6B0AC3BC" w14:textId="77777777" w:rsidR="00E263C3" w:rsidRDefault="00E263C3" w:rsidP="00BD2835"/>
        </w:tc>
        <w:tc>
          <w:tcPr>
            <w:tcW w:w="900" w:type="dxa"/>
          </w:tcPr>
          <w:p w14:paraId="1704018E" w14:textId="77777777" w:rsidR="00E263C3" w:rsidRDefault="00E263C3" w:rsidP="00BD2835"/>
        </w:tc>
        <w:tc>
          <w:tcPr>
            <w:tcW w:w="900" w:type="dxa"/>
          </w:tcPr>
          <w:p w14:paraId="0FBC5A9D" w14:textId="77777777" w:rsidR="00E263C3" w:rsidRDefault="00E263C3" w:rsidP="00BD2835"/>
        </w:tc>
        <w:tc>
          <w:tcPr>
            <w:tcW w:w="877" w:type="dxa"/>
          </w:tcPr>
          <w:p w14:paraId="47ECEB16" w14:textId="77777777" w:rsidR="00E263C3" w:rsidRDefault="00E263C3" w:rsidP="00BD2835">
            <w:r>
              <w:t>X</w:t>
            </w:r>
          </w:p>
        </w:tc>
      </w:tr>
    </w:tbl>
    <w:p w14:paraId="0EFA1ACF" w14:textId="77777777" w:rsidR="00E263C3" w:rsidRDefault="00E263C3" w:rsidP="00E263C3"/>
    <w:p w14:paraId="2BE33E4F" w14:textId="77777777" w:rsidR="00E263C3" w:rsidRDefault="00E263C3" w:rsidP="00E263C3">
      <w:pPr>
        <w:rPr>
          <w:b/>
        </w:rPr>
      </w:pPr>
      <w:r>
        <w:t>*</w:t>
      </w:r>
      <w:r w:rsidRPr="00AF6443">
        <w:rPr>
          <w:b/>
        </w:rPr>
        <w:t xml:space="preserve">CONTACT THE IACBE OFFICE PRIOR TO BEGINNING THE </w:t>
      </w:r>
      <w:r>
        <w:rPr>
          <w:b/>
        </w:rPr>
        <w:t xml:space="preserve">NEW PROGRAM </w:t>
      </w:r>
      <w:r w:rsidRPr="00AF6443">
        <w:rPr>
          <w:b/>
        </w:rPr>
        <w:t xml:space="preserve">SELF-STUDY PROCESS TO DETERMINE THE CORRECT METHOD FOR </w:t>
      </w:r>
      <w:r>
        <w:rPr>
          <w:b/>
        </w:rPr>
        <w:t>YOUR</w:t>
      </w:r>
      <w:r w:rsidRPr="00AF6443">
        <w:rPr>
          <w:b/>
        </w:rPr>
        <w:t xml:space="preserve"> NEW PROGRAM</w:t>
      </w:r>
      <w:r>
        <w:rPr>
          <w:b/>
        </w:rPr>
        <w:t xml:space="preserve"> – AS GENERAL GUIDELINES USE THE FOLLOWING:</w:t>
      </w:r>
    </w:p>
    <w:p w14:paraId="47DA1EA3" w14:textId="77777777" w:rsidR="00E263C3" w:rsidRDefault="00E263C3" w:rsidP="00E263C3">
      <w:pPr>
        <w:rPr>
          <w:b/>
        </w:rPr>
      </w:pPr>
      <w:r>
        <w:rPr>
          <w:b/>
        </w:rPr>
        <w:t xml:space="preserve">Staff Review – </w:t>
      </w:r>
      <w:r w:rsidRPr="0018350D">
        <w:rPr>
          <w:bCs/>
        </w:rPr>
        <w:t xml:space="preserve">The IACBE Board of Commissioners </w:t>
      </w:r>
      <w:r>
        <w:rPr>
          <w:bCs/>
        </w:rPr>
        <w:t xml:space="preserve">(BOC) </w:t>
      </w:r>
      <w:r w:rsidRPr="0018350D">
        <w:rPr>
          <w:bCs/>
        </w:rPr>
        <w:t>has authorized the IACBE staff to add new majors, concentrations, specializations, etc to the list of accredited programs when the overall degree is already accredited. For example, an institution may have an MBA with several concentrations and decides to add a new concentration. If the new concentration is covered by the existing OAP, then all th</w:t>
      </w:r>
      <w:r>
        <w:rPr>
          <w:bCs/>
        </w:rPr>
        <w:t>at</w:t>
      </w:r>
      <w:r w:rsidRPr="0018350D">
        <w:rPr>
          <w:bCs/>
        </w:rPr>
        <w:t xml:space="preserve"> is required is notification. If each concentration has a separate OAP, the</w:t>
      </w:r>
      <w:r>
        <w:rPr>
          <w:bCs/>
        </w:rPr>
        <w:t>n</w:t>
      </w:r>
      <w:r w:rsidRPr="0018350D">
        <w:rPr>
          <w:bCs/>
        </w:rPr>
        <w:t xml:space="preserve"> the institution must also submit the OAP for the new concentration.</w:t>
      </w:r>
    </w:p>
    <w:p w14:paraId="15D62710" w14:textId="77777777" w:rsidR="00E263C3" w:rsidRDefault="00E263C3" w:rsidP="00E263C3">
      <w:pPr>
        <w:rPr>
          <w:b/>
        </w:rPr>
      </w:pPr>
      <w:r>
        <w:rPr>
          <w:b/>
        </w:rPr>
        <w:t xml:space="preserve">Fast Track – </w:t>
      </w:r>
      <w:r w:rsidRPr="0018350D">
        <w:rPr>
          <w:bCs/>
        </w:rPr>
        <w:t xml:space="preserve">The BOC has approved the fast track process for institutions that change a degree name, but </w:t>
      </w:r>
      <w:r>
        <w:rPr>
          <w:bCs/>
        </w:rPr>
        <w:t>t</w:t>
      </w:r>
      <w:r w:rsidRPr="0018350D">
        <w:rPr>
          <w:bCs/>
        </w:rPr>
        <w:t>he overall program remains substantially the same</w:t>
      </w:r>
      <w:r>
        <w:rPr>
          <w:bCs/>
        </w:rPr>
        <w:t xml:space="preserve"> or the new program is comprised of courses that are a part of an already accredited program</w:t>
      </w:r>
      <w:r w:rsidRPr="0018350D">
        <w:rPr>
          <w:bCs/>
        </w:rPr>
        <w:t>. For example, an institution has an MBA with a concentration in accounting and determines to change the program to a Master of Accountancy.</w:t>
      </w:r>
    </w:p>
    <w:p w14:paraId="53A54E1A" w14:textId="77777777" w:rsidR="00E263C3" w:rsidRDefault="00E263C3" w:rsidP="00E263C3">
      <w:pPr>
        <w:rPr>
          <w:b/>
        </w:rPr>
      </w:pPr>
      <w:r>
        <w:rPr>
          <w:b/>
        </w:rPr>
        <w:t xml:space="preserve">Full Review – </w:t>
      </w:r>
      <w:r w:rsidRPr="0018350D">
        <w:rPr>
          <w:bCs/>
        </w:rPr>
        <w:t>The BOC requires a full review for new programs that are either entirely new to the institution or are not substantially the same as an existing program.</w:t>
      </w:r>
    </w:p>
    <w:p w14:paraId="07B22B9E" w14:textId="77777777" w:rsidR="00E263C3" w:rsidRDefault="00E263C3" w:rsidP="00E263C3">
      <w:r>
        <w:rPr>
          <w:b/>
        </w:rPr>
        <w:t xml:space="preserve">New Degree Level – </w:t>
      </w:r>
      <w:r w:rsidRPr="0018350D">
        <w:rPr>
          <w:bCs/>
        </w:rPr>
        <w:t>The BOC requires a full New Program self-study and review which may include a virtual or face-to-face site visit for all new programs at any level above that which the institution already has accreditation for.</w:t>
      </w:r>
    </w:p>
    <w:p w14:paraId="478475B5" w14:textId="77777777" w:rsidR="00E263C3" w:rsidRDefault="00E263C3" w:rsidP="00E263C3"/>
    <w:p w14:paraId="25199E38" w14:textId="77777777" w:rsidR="00E263C3" w:rsidRDefault="00E263C3" w:rsidP="00E263C3"/>
    <w:p w14:paraId="51A64B91" w14:textId="6DC38A31" w:rsidR="002264F7" w:rsidRDefault="002264F7" w:rsidP="00E263C3">
      <w:pPr>
        <w:ind w:left="0"/>
      </w:pPr>
    </w:p>
    <w:sectPr w:rsidR="002264F7" w:rsidSect="00E263C3">
      <w:pgSz w:w="15840" w:h="12240" w:orient="landscape" w:code="1"/>
      <w:pgMar w:top="1440" w:right="1152" w:bottom="1440" w:left="864" w:header="720" w:footer="576"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F746D" w14:textId="77777777" w:rsidR="00773868" w:rsidRDefault="00773868" w:rsidP="003937C0">
      <w:r>
        <w:separator/>
      </w:r>
    </w:p>
  </w:endnote>
  <w:endnote w:type="continuationSeparator" w:id="0">
    <w:p w14:paraId="353090CF" w14:textId="77777777" w:rsidR="00773868" w:rsidRDefault="00773868" w:rsidP="0039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7654265"/>
      <w:docPartObj>
        <w:docPartGallery w:val="Page Numbers (Bottom of Page)"/>
        <w:docPartUnique/>
      </w:docPartObj>
    </w:sdtPr>
    <w:sdtEndPr>
      <w:rPr>
        <w:noProof/>
      </w:rPr>
    </w:sdtEndPr>
    <w:sdtContent>
      <w:p w14:paraId="3B75D856" w14:textId="6B89BB1D" w:rsidR="00773868" w:rsidRPr="000B156A" w:rsidRDefault="00773868" w:rsidP="000B156A">
        <w:pPr>
          <w:pStyle w:val="Footer"/>
          <w:ind w:left="0"/>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8A79A" w14:textId="77777777" w:rsidR="00773868" w:rsidRDefault="00773868" w:rsidP="003937C0">
      <w:r>
        <w:separator/>
      </w:r>
    </w:p>
  </w:footnote>
  <w:footnote w:type="continuationSeparator" w:id="0">
    <w:p w14:paraId="179DD9E5" w14:textId="77777777" w:rsidR="00773868" w:rsidRDefault="00773868" w:rsidP="00393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691E"/>
    <w:multiLevelType w:val="hybridMultilevel"/>
    <w:tmpl w:val="C7045DAC"/>
    <w:lvl w:ilvl="0" w:tplc="407420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34F89"/>
    <w:multiLevelType w:val="hybridMultilevel"/>
    <w:tmpl w:val="C6FE7B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7095C"/>
    <w:multiLevelType w:val="hybridMultilevel"/>
    <w:tmpl w:val="C7D0F040"/>
    <w:lvl w:ilvl="0" w:tplc="58F2D64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93850"/>
    <w:multiLevelType w:val="hybridMultilevel"/>
    <w:tmpl w:val="035C275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510733F"/>
    <w:multiLevelType w:val="hybridMultilevel"/>
    <w:tmpl w:val="17207264"/>
    <w:lvl w:ilvl="0" w:tplc="E70440CC">
      <w:start w:val="1"/>
      <w:numFmt w:val="decimal"/>
      <w:lvlText w:val="%1."/>
      <w:lvlJc w:val="left"/>
      <w:pPr>
        <w:ind w:left="720" w:hanging="360"/>
      </w:pPr>
    </w:lvl>
    <w:lvl w:ilvl="1" w:tplc="5FB87B48">
      <w:start w:val="1"/>
      <w:numFmt w:val="lowerLetter"/>
      <w:lvlText w:val="%2."/>
      <w:lvlJc w:val="left"/>
      <w:pPr>
        <w:ind w:left="1440" w:hanging="360"/>
      </w:pPr>
    </w:lvl>
    <w:lvl w:ilvl="2" w:tplc="F62C7F78">
      <w:start w:val="1"/>
      <w:numFmt w:val="lowerRoman"/>
      <w:lvlText w:val="%3."/>
      <w:lvlJc w:val="right"/>
      <w:pPr>
        <w:ind w:left="2160" w:hanging="180"/>
      </w:pPr>
    </w:lvl>
    <w:lvl w:ilvl="3" w:tplc="980461C4">
      <w:start w:val="1"/>
      <w:numFmt w:val="decimal"/>
      <w:lvlText w:val="%4."/>
      <w:lvlJc w:val="left"/>
      <w:pPr>
        <w:ind w:left="2880" w:hanging="360"/>
      </w:pPr>
    </w:lvl>
    <w:lvl w:ilvl="4" w:tplc="2CF88C8E">
      <w:start w:val="1"/>
      <w:numFmt w:val="lowerLetter"/>
      <w:lvlText w:val="%5."/>
      <w:lvlJc w:val="left"/>
      <w:pPr>
        <w:ind w:left="3600" w:hanging="360"/>
      </w:pPr>
    </w:lvl>
    <w:lvl w:ilvl="5" w:tplc="87AAE47A">
      <w:start w:val="1"/>
      <w:numFmt w:val="lowerRoman"/>
      <w:lvlText w:val="%6."/>
      <w:lvlJc w:val="right"/>
      <w:pPr>
        <w:ind w:left="4320" w:hanging="180"/>
      </w:pPr>
    </w:lvl>
    <w:lvl w:ilvl="6" w:tplc="AE08DC60">
      <w:start w:val="1"/>
      <w:numFmt w:val="decimal"/>
      <w:lvlText w:val="%7."/>
      <w:lvlJc w:val="left"/>
      <w:pPr>
        <w:ind w:left="5040" w:hanging="360"/>
      </w:pPr>
    </w:lvl>
    <w:lvl w:ilvl="7" w:tplc="CEBCAC44">
      <w:start w:val="1"/>
      <w:numFmt w:val="lowerLetter"/>
      <w:lvlText w:val="%8."/>
      <w:lvlJc w:val="left"/>
      <w:pPr>
        <w:ind w:left="5760" w:hanging="360"/>
      </w:pPr>
    </w:lvl>
    <w:lvl w:ilvl="8" w:tplc="1D12C362">
      <w:start w:val="1"/>
      <w:numFmt w:val="lowerRoman"/>
      <w:lvlText w:val="%9."/>
      <w:lvlJc w:val="right"/>
      <w:pPr>
        <w:ind w:left="6480" w:hanging="180"/>
      </w:pPr>
    </w:lvl>
  </w:abstractNum>
  <w:abstractNum w:abstractNumId="5" w15:restartNumberingAfterBreak="0">
    <w:nsid w:val="39EA7CD3"/>
    <w:multiLevelType w:val="hybridMultilevel"/>
    <w:tmpl w:val="CA7460C4"/>
    <w:lvl w:ilvl="0" w:tplc="8A7E69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C17A1"/>
    <w:multiLevelType w:val="hybridMultilevel"/>
    <w:tmpl w:val="530ED9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509F0"/>
    <w:multiLevelType w:val="hybridMultilevel"/>
    <w:tmpl w:val="3AC4F2C0"/>
    <w:lvl w:ilvl="0" w:tplc="29C6DF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983057"/>
    <w:multiLevelType w:val="hybridMultilevel"/>
    <w:tmpl w:val="F4CE47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0467A4"/>
    <w:multiLevelType w:val="hybridMultilevel"/>
    <w:tmpl w:val="8B746A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DD9455C"/>
    <w:multiLevelType w:val="hybridMultilevel"/>
    <w:tmpl w:val="0F40852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8"/>
  </w:num>
  <w:num w:numId="3">
    <w:abstractNumId w:val="6"/>
  </w:num>
  <w:num w:numId="4">
    <w:abstractNumId w:val="1"/>
  </w:num>
  <w:num w:numId="5">
    <w:abstractNumId w:val="0"/>
  </w:num>
  <w:num w:numId="6">
    <w:abstractNumId w:val="7"/>
  </w:num>
  <w:num w:numId="7">
    <w:abstractNumId w:val="2"/>
  </w:num>
  <w:num w:numId="8">
    <w:abstractNumId w:val="5"/>
  </w:num>
  <w:num w:numId="9">
    <w:abstractNumId w:val="9"/>
  </w:num>
  <w:num w:numId="10">
    <w:abstractNumId w:val="3"/>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67"/>
    <w:rsid w:val="00000250"/>
    <w:rsid w:val="000009B3"/>
    <w:rsid w:val="00001C8E"/>
    <w:rsid w:val="000030DB"/>
    <w:rsid w:val="00006DE7"/>
    <w:rsid w:val="0001529D"/>
    <w:rsid w:val="0001757A"/>
    <w:rsid w:val="00032403"/>
    <w:rsid w:val="0003698C"/>
    <w:rsid w:val="000411F5"/>
    <w:rsid w:val="00046002"/>
    <w:rsid w:val="00053830"/>
    <w:rsid w:val="00057B89"/>
    <w:rsid w:val="00064061"/>
    <w:rsid w:val="00065698"/>
    <w:rsid w:val="00066225"/>
    <w:rsid w:val="000736C7"/>
    <w:rsid w:val="000755C6"/>
    <w:rsid w:val="00076D09"/>
    <w:rsid w:val="00081083"/>
    <w:rsid w:val="000947C1"/>
    <w:rsid w:val="0009700F"/>
    <w:rsid w:val="000979CA"/>
    <w:rsid w:val="000A53D6"/>
    <w:rsid w:val="000B1474"/>
    <w:rsid w:val="000B156A"/>
    <w:rsid w:val="000B15A2"/>
    <w:rsid w:val="000C52AA"/>
    <w:rsid w:val="000C7D08"/>
    <w:rsid w:val="000D0787"/>
    <w:rsid w:val="000D4CA1"/>
    <w:rsid w:val="000E5267"/>
    <w:rsid w:val="000E577D"/>
    <w:rsid w:val="000F2163"/>
    <w:rsid w:val="00101B83"/>
    <w:rsid w:val="00106215"/>
    <w:rsid w:val="00107200"/>
    <w:rsid w:val="001136CA"/>
    <w:rsid w:val="001138BF"/>
    <w:rsid w:val="00116DCD"/>
    <w:rsid w:val="00123865"/>
    <w:rsid w:val="00125306"/>
    <w:rsid w:val="00125484"/>
    <w:rsid w:val="00126731"/>
    <w:rsid w:val="00135065"/>
    <w:rsid w:val="00141981"/>
    <w:rsid w:val="00144BC6"/>
    <w:rsid w:val="00146005"/>
    <w:rsid w:val="001533E9"/>
    <w:rsid w:val="001565C7"/>
    <w:rsid w:val="001639F0"/>
    <w:rsid w:val="0016508F"/>
    <w:rsid w:val="00166E1E"/>
    <w:rsid w:val="001740E4"/>
    <w:rsid w:val="0017494E"/>
    <w:rsid w:val="00175C9A"/>
    <w:rsid w:val="001811E4"/>
    <w:rsid w:val="001865DE"/>
    <w:rsid w:val="00195C52"/>
    <w:rsid w:val="00197250"/>
    <w:rsid w:val="001977CF"/>
    <w:rsid w:val="001A26EF"/>
    <w:rsid w:val="001B0141"/>
    <w:rsid w:val="001C158B"/>
    <w:rsid w:val="001C300E"/>
    <w:rsid w:val="001C31D1"/>
    <w:rsid w:val="001D6665"/>
    <w:rsid w:val="001E013B"/>
    <w:rsid w:val="001E7B8C"/>
    <w:rsid w:val="001F07F5"/>
    <w:rsid w:val="001F11DA"/>
    <w:rsid w:val="001F1326"/>
    <w:rsid w:val="002100A5"/>
    <w:rsid w:val="002108EF"/>
    <w:rsid w:val="00210CAA"/>
    <w:rsid w:val="002218B2"/>
    <w:rsid w:val="00223A2C"/>
    <w:rsid w:val="002264F7"/>
    <w:rsid w:val="0023160C"/>
    <w:rsid w:val="00233878"/>
    <w:rsid w:val="00234D3B"/>
    <w:rsid w:val="00241388"/>
    <w:rsid w:val="00242D5C"/>
    <w:rsid w:val="00243A83"/>
    <w:rsid w:val="002450AE"/>
    <w:rsid w:val="00247BB9"/>
    <w:rsid w:val="00262811"/>
    <w:rsid w:val="0027147A"/>
    <w:rsid w:val="00273270"/>
    <w:rsid w:val="002771F9"/>
    <w:rsid w:val="0027780D"/>
    <w:rsid w:val="002816A0"/>
    <w:rsid w:val="00286588"/>
    <w:rsid w:val="00287E59"/>
    <w:rsid w:val="00290D34"/>
    <w:rsid w:val="00290E1C"/>
    <w:rsid w:val="002A13E1"/>
    <w:rsid w:val="002A40B9"/>
    <w:rsid w:val="002A7B6C"/>
    <w:rsid w:val="002B146A"/>
    <w:rsid w:val="002B4031"/>
    <w:rsid w:val="002B62EE"/>
    <w:rsid w:val="002C288F"/>
    <w:rsid w:val="002C5468"/>
    <w:rsid w:val="002D4D4B"/>
    <w:rsid w:val="002D7434"/>
    <w:rsid w:val="002E02A7"/>
    <w:rsid w:val="002E1ED0"/>
    <w:rsid w:val="002E3F61"/>
    <w:rsid w:val="002E6147"/>
    <w:rsid w:val="002F4C9A"/>
    <w:rsid w:val="0030386B"/>
    <w:rsid w:val="00303879"/>
    <w:rsid w:val="00304A91"/>
    <w:rsid w:val="00306D09"/>
    <w:rsid w:val="00315CE0"/>
    <w:rsid w:val="00317340"/>
    <w:rsid w:val="003260B3"/>
    <w:rsid w:val="0032739B"/>
    <w:rsid w:val="00327408"/>
    <w:rsid w:val="003322C2"/>
    <w:rsid w:val="003346BE"/>
    <w:rsid w:val="00341DA4"/>
    <w:rsid w:val="00343784"/>
    <w:rsid w:val="003529E0"/>
    <w:rsid w:val="003531A4"/>
    <w:rsid w:val="00365B11"/>
    <w:rsid w:val="00373713"/>
    <w:rsid w:val="00385A3F"/>
    <w:rsid w:val="00386153"/>
    <w:rsid w:val="00392D2F"/>
    <w:rsid w:val="003937C0"/>
    <w:rsid w:val="00397367"/>
    <w:rsid w:val="003A31BA"/>
    <w:rsid w:val="003A67BD"/>
    <w:rsid w:val="003B10FA"/>
    <w:rsid w:val="003C1045"/>
    <w:rsid w:val="003C13D0"/>
    <w:rsid w:val="003C446A"/>
    <w:rsid w:val="003C48D6"/>
    <w:rsid w:val="003D1C2D"/>
    <w:rsid w:val="003D2E9A"/>
    <w:rsid w:val="003D650C"/>
    <w:rsid w:val="003D66DC"/>
    <w:rsid w:val="003E1839"/>
    <w:rsid w:val="003E35E4"/>
    <w:rsid w:val="003E4E8D"/>
    <w:rsid w:val="003E55C4"/>
    <w:rsid w:val="003F153B"/>
    <w:rsid w:val="003F2CF0"/>
    <w:rsid w:val="003F4B99"/>
    <w:rsid w:val="003F6503"/>
    <w:rsid w:val="003F69EB"/>
    <w:rsid w:val="003F75CF"/>
    <w:rsid w:val="003F7869"/>
    <w:rsid w:val="00403F8B"/>
    <w:rsid w:val="00411CBE"/>
    <w:rsid w:val="004168E6"/>
    <w:rsid w:val="004170EA"/>
    <w:rsid w:val="00417DCA"/>
    <w:rsid w:val="00420726"/>
    <w:rsid w:val="00423063"/>
    <w:rsid w:val="00426B6A"/>
    <w:rsid w:val="00427362"/>
    <w:rsid w:val="00431C3B"/>
    <w:rsid w:val="00447876"/>
    <w:rsid w:val="00450871"/>
    <w:rsid w:val="004563A9"/>
    <w:rsid w:val="00456C33"/>
    <w:rsid w:val="00463B3E"/>
    <w:rsid w:val="0046677C"/>
    <w:rsid w:val="004668A5"/>
    <w:rsid w:val="00470ED3"/>
    <w:rsid w:val="00472866"/>
    <w:rsid w:val="00472889"/>
    <w:rsid w:val="00473DB6"/>
    <w:rsid w:val="004750DC"/>
    <w:rsid w:val="00475C92"/>
    <w:rsid w:val="00480EC1"/>
    <w:rsid w:val="00481660"/>
    <w:rsid w:val="004844C6"/>
    <w:rsid w:val="00496AB6"/>
    <w:rsid w:val="004A225A"/>
    <w:rsid w:val="004A4A21"/>
    <w:rsid w:val="004A5562"/>
    <w:rsid w:val="004A694C"/>
    <w:rsid w:val="004A6F36"/>
    <w:rsid w:val="004B181E"/>
    <w:rsid w:val="004B257B"/>
    <w:rsid w:val="004B7044"/>
    <w:rsid w:val="004B7119"/>
    <w:rsid w:val="004C1AD1"/>
    <w:rsid w:val="004C41BF"/>
    <w:rsid w:val="004C5131"/>
    <w:rsid w:val="004C6FCA"/>
    <w:rsid w:val="004D2D69"/>
    <w:rsid w:val="004D71DF"/>
    <w:rsid w:val="004D722F"/>
    <w:rsid w:val="004E2D2E"/>
    <w:rsid w:val="004E776F"/>
    <w:rsid w:val="00503443"/>
    <w:rsid w:val="00506386"/>
    <w:rsid w:val="00507B68"/>
    <w:rsid w:val="005127CF"/>
    <w:rsid w:val="0051473C"/>
    <w:rsid w:val="00514F5E"/>
    <w:rsid w:val="0052090B"/>
    <w:rsid w:val="005242E7"/>
    <w:rsid w:val="00532E68"/>
    <w:rsid w:val="005349BF"/>
    <w:rsid w:val="00537B22"/>
    <w:rsid w:val="00542D32"/>
    <w:rsid w:val="0054558F"/>
    <w:rsid w:val="00545C73"/>
    <w:rsid w:val="005502A6"/>
    <w:rsid w:val="0055237E"/>
    <w:rsid w:val="005623E8"/>
    <w:rsid w:val="00566137"/>
    <w:rsid w:val="0057309B"/>
    <w:rsid w:val="0057584A"/>
    <w:rsid w:val="00577B5C"/>
    <w:rsid w:val="00580BC2"/>
    <w:rsid w:val="00581AFE"/>
    <w:rsid w:val="005854AE"/>
    <w:rsid w:val="00591BD0"/>
    <w:rsid w:val="00595CE5"/>
    <w:rsid w:val="00595E13"/>
    <w:rsid w:val="005A0D42"/>
    <w:rsid w:val="005A1A18"/>
    <w:rsid w:val="005A21A7"/>
    <w:rsid w:val="005A3962"/>
    <w:rsid w:val="005B4F50"/>
    <w:rsid w:val="005B7F61"/>
    <w:rsid w:val="005C0DA5"/>
    <w:rsid w:val="005D0FA8"/>
    <w:rsid w:val="005D342D"/>
    <w:rsid w:val="005D3A7B"/>
    <w:rsid w:val="005D5FEE"/>
    <w:rsid w:val="005D7F69"/>
    <w:rsid w:val="005E6210"/>
    <w:rsid w:val="005F04E6"/>
    <w:rsid w:val="005F7923"/>
    <w:rsid w:val="00602F1C"/>
    <w:rsid w:val="00606905"/>
    <w:rsid w:val="00613747"/>
    <w:rsid w:val="00617400"/>
    <w:rsid w:val="006215A0"/>
    <w:rsid w:val="00621D9C"/>
    <w:rsid w:val="0063468A"/>
    <w:rsid w:val="00634A88"/>
    <w:rsid w:val="0063657A"/>
    <w:rsid w:val="006412D7"/>
    <w:rsid w:val="006426C8"/>
    <w:rsid w:val="006427F4"/>
    <w:rsid w:val="00643B50"/>
    <w:rsid w:val="0064418C"/>
    <w:rsid w:val="0064797C"/>
    <w:rsid w:val="00647D99"/>
    <w:rsid w:val="00650DED"/>
    <w:rsid w:val="00651AF0"/>
    <w:rsid w:val="00652A8A"/>
    <w:rsid w:val="00657C5E"/>
    <w:rsid w:val="006640E8"/>
    <w:rsid w:val="006652D3"/>
    <w:rsid w:val="00665F48"/>
    <w:rsid w:val="00666E8C"/>
    <w:rsid w:val="00670251"/>
    <w:rsid w:val="00671C99"/>
    <w:rsid w:val="0067387F"/>
    <w:rsid w:val="00675D1F"/>
    <w:rsid w:val="00687633"/>
    <w:rsid w:val="00694ED2"/>
    <w:rsid w:val="006973C9"/>
    <w:rsid w:val="006A02F4"/>
    <w:rsid w:val="006A074E"/>
    <w:rsid w:val="006A2538"/>
    <w:rsid w:val="006A36C9"/>
    <w:rsid w:val="006C2FFA"/>
    <w:rsid w:val="006D2765"/>
    <w:rsid w:val="006E70AE"/>
    <w:rsid w:val="006F0C3C"/>
    <w:rsid w:val="006F2ADF"/>
    <w:rsid w:val="006F36D3"/>
    <w:rsid w:val="006F46DB"/>
    <w:rsid w:val="007031A5"/>
    <w:rsid w:val="007068AE"/>
    <w:rsid w:val="00710D20"/>
    <w:rsid w:val="00713169"/>
    <w:rsid w:val="00713D89"/>
    <w:rsid w:val="00717B80"/>
    <w:rsid w:val="007241F8"/>
    <w:rsid w:val="00732605"/>
    <w:rsid w:val="00735ABB"/>
    <w:rsid w:val="00735AE8"/>
    <w:rsid w:val="0074232C"/>
    <w:rsid w:val="007578F3"/>
    <w:rsid w:val="00761E85"/>
    <w:rsid w:val="00762F4C"/>
    <w:rsid w:val="00773868"/>
    <w:rsid w:val="007865D0"/>
    <w:rsid w:val="0078790B"/>
    <w:rsid w:val="007903E4"/>
    <w:rsid w:val="0079256D"/>
    <w:rsid w:val="00796FF0"/>
    <w:rsid w:val="00797137"/>
    <w:rsid w:val="00797D14"/>
    <w:rsid w:val="007A2692"/>
    <w:rsid w:val="007A2F16"/>
    <w:rsid w:val="007A39A9"/>
    <w:rsid w:val="007A74E7"/>
    <w:rsid w:val="007B1982"/>
    <w:rsid w:val="007C1857"/>
    <w:rsid w:val="007C2183"/>
    <w:rsid w:val="007C3861"/>
    <w:rsid w:val="007D2453"/>
    <w:rsid w:val="007E57F3"/>
    <w:rsid w:val="00805609"/>
    <w:rsid w:val="00805B53"/>
    <w:rsid w:val="00806349"/>
    <w:rsid w:val="00811BF0"/>
    <w:rsid w:val="00812EEE"/>
    <w:rsid w:val="00813E79"/>
    <w:rsid w:val="0081763A"/>
    <w:rsid w:val="00832BE0"/>
    <w:rsid w:val="00842E56"/>
    <w:rsid w:val="008465A8"/>
    <w:rsid w:val="00847D18"/>
    <w:rsid w:val="00855054"/>
    <w:rsid w:val="00860E2D"/>
    <w:rsid w:val="00866C04"/>
    <w:rsid w:val="00871B7B"/>
    <w:rsid w:val="00876509"/>
    <w:rsid w:val="0088157B"/>
    <w:rsid w:val="0088445F"/>
    <w:rsid w:val="00885E83"/>
    <w:rsid w:val="008918A7"/>
    <w:rsid w:val="00895B73"/>
    <w:rsid w:val="008960BF"/>
    <w:rsid w:val="008966CC"/>
    <w:rsid w:val="008970B4"/>
    <w:rsid w:val="008A24B0"/>
    <w:rsid w:val="008A5308"/>
    <w:rsid w:val="008A539D"/>
    <w:rsid w:val="008B07D3"/>
    <w:rsid w:val="008B12FA"/>
    <w:rsid w:val="008B18B9"/>
    <w:rsid w:val="008B1FC9"/>
    <w:rsid w:val="008B709F"/>
    <w:rsid w:val="008C573C"/>
    <w:rsid w:val="008C6879"/>
    <w:rsid w:val="008E705F"/>
    <w:rsid w:val="008F05D0"/>
    <w:rsid w:val="008F0B3C"/>
    <w:rsid w:val="008F0F7B"/>
    <w:rsid w:val="008F607F"/>
    <w:rsid w:val="008F6C63"/>
    <w:rsid w:val="00901DE2"/>
    <w:rsid w:val="0090621E"/>
    <w:rsid w:val="009065BD"/>
    <w:rsid w:val="00914FBA"/>
    <w:rsid w:val="00920D79"/>
    <w:rsid w:val="009223EE"/>
    <w:rsid w:val="00924583"/>
    <w:rsid w:val="00927677"/>
    <w:rsid w:val="00932136"/>
    <w:rsid w:val="009355C0"/>
    <w:rsid w:val="00951FD9"/>
    <w:rsid w:val="0095420F"/>
    <w:rsid w:val="00954821"/>
    <w:rsid w:val="009567A3"/>
    <w:rsid w:val="009756E9"/>
    <w:rsid w:val="009770A7"/>
    <w:rsid w:val="009804F6"/>
    <w:rsid w:val="00982452"/>
    <w:rsid w:val="00990404"/>
    <w:rsid w:val="00992BE9"/>
    <w:rsid w:val="00997A40"/>
    <w:rsid w:val="009A1458"/>
    <w:rsid w:val="009B571E"/>
    <w:rsid w:val="009B5CCD"/>
    <w:rsid w:val="009B5E70"/>
    <w:rsid w:val="009B601A"/>
    <w:rsid w:val="009B638D"/>
    <w:rsid w:val="009C4E62"/>
    <w:rsid w:val="009C6094"/>
    <w:rsid w:val="009D3D42"/>
    <w:rsid w:val="009D4938"/>
    <w:rsid w:val="009E6462"/>
    <w:rsid w:val="009F466C"/>
    <w:rsid w:val="009F7B6C"/>
    <w:rsid w:val="00A03146"/>
    <w:rsid w:val="00A04090"/>
    <w:rsid w:val="00A07655"/>
    <w:rsid w:val="00A10FA2"/>
    <w:rsid w:val="00A2023E"/>
    <w:rsid w:val="00A32099"/>
    <w:rsid w:val="00A35059"/>
    <w:rsid w:val="00A35FB6"/>
    <w:rsid w:val="00A41E1B"/>
    <w:rsid w:val="00A51510"/>
    <w:rsid w:val="00A52991"/>
    <w:rsid w:val="00A5535D"/>
    <w:rsid w:val="00A60284"/>
    <w:rsid w:val="00A645E6"/>
    <w:rsid w:val="00A6539C"/>
    <w:rsid w:val="00A753F8"/>
    <w:rsid w:val="00A75E89"/>
    <w:rsid w:val="00A77924"/>
    <w:rsid w:val="00A82F6F"/>
    <w:rsid w:val="00A859B6"/>
    <w:rsid w:val="00A86240"/>
    <w:rsid w:val="00A8687E"/>
    <w:rsid w:val="00A9379E"/>
    <w:rsid w:val="00AA0099"/>
    <w:rsid w:val="00AC2572"/>
    <w:rsid w:val="00AC40AA"/>
    <w:rsid w:val="00AD535B"/>
    <w:rsid w:val="00AE01E6"/>
    <w:rsid w:val="00AE19A3"/>
    <w:rsid w:val="00AE4A27"/>
    <w:rsid w:val="00AE633F"/>
    <w:rsid w:val="00AF0921"/>
    <w:rsid w:val="00AF36B1"/>
    <w:rsid w:val="00AF4C3C"/>
    <w:rsid w:val="00B02FD8"/>
    <w:rsid w:val="00B038AC"/>
    <w:rsid w:val="00B05C5E"/>
    <w:rsid w:val="00B06445"/>
    <w:rsid w:val="00B114AA"/>
    <w:rsid w:val="00B1306D"/>
    <w:rsid w:val="00B15F6E"/>
    <w:rsid w:val="00B202AA"/>
    <w:rsid w:val="00B22FC8"/>
    <w:rsid w:val="00B259F5"/>
    <w:rsid w:val="00B26697"/>
    <w:rsid w:val="00B27860"/>
    <w:rsid w:val="00B37711"/>
    <w:rsid w:val="00B37B33"/>
    <w:rsid w:val="00B40761"/>
    <w:rsid w:val="00B47517"/>
    <w:rsid w:val="00B525B7"/>
    <w:rsid w:val="00B56BF4"/>
    <w:rsid w:val="00B6498A"/>
    <w:rsid w:val="00B66E96"/>
    <w:rsid w:val="00B6785B"/>
    <w:rsid w:val="00B67A91"/>
    <w:rsid w:val="00B714B4"/>
    <w:rsid w:val="00B84A51"/>
    <w:rsid w:val="00B92DBC"/>
    <w:rsid w:val="00B93BBF"/>
    <w:rsid w:val="00BB3BAA"/>
    <w:rsid w:val="00BB3E3A"/>
    <w:rsid w:val="00BB7EDE"/>
    <w:rsid w:val="00BC1D6F"/>
    <w:rsid w:val="00BD2835"/>
    <w:rsid w:val="00BD2BDD"/>
    <w:rsid w:val="00BD5C59"/>
    <w:rsid w:val="00BE1534"/>
    <w:rsid w:val="00BE2D13"/>
    <w:rsid w:val="00BE5045"/>
    <w:rsid w:val="00BF0803"/>
    <w:rsid w:val="00BF1182"/>
    <w:rsid w:val="00C03B8B"/>
    <w:rsid w:val="00C04491"/>
    <w:rsid w:val="00C116DF"/>
    <w:rsid w:val="00C23A89"/>
    <w:rsid w:val="00C333A6"/>
    <w:rsid w:val="00C35076"/>
    <w:rsid w:val="00C4356B"/>
    <w:rsid w:val="00C43C0F"/>
    <w:rsid w:val="00C445DC"/>
    <w:rsid w:val="00C4653F"/>
    <w:rsid w:val="00C526B3"/>
    <w:rsid w:val="00C53BF0"/>
    <w:rsid w:val="00C60E10"/>
    <w:rsid w:val="00C626CA"/>
    <w:rsid w:val="00C63829"/>
    <w:rsid w:val="00C641C9"/>
    <w:rsid w:val="00C6756F"/>
    <w:rsid w:val="00C77247"/>
    <w:rsid w:val="00C8269B"/>
    <w:rsid w:val="00C84BDE"/>
    <w:rsid w:val="00C86B0D"/>
    <w:rsid w:val="00C93987"/>
    <w:rsid w:val="00C950C5"/>
    <w:rsid w:val="00C95242"/>
    <w:rsid w:val="00C97EBC"/>
    <w:rsid w:val="00CA73DB"/>
    <w:rsid w:val="00CA76B8"/>
    <w:rsid w:val="00CC2721"/>
    <w:rsid w:val="00CC2786"/>
    <w:rsid w:val="00CC45D6"/>
    <w:rsid w:val="00CC4F8F"/>
    <w:rsid w:val="00CD59B1"/>
    <w:rsid w:val="00CD73A2"/>
    <w:rsid w:val="00CE0381"/>
    <w:rsid w:val="00CE56DF"/>
    <w:rsid w:val="00CE64CD"/>
    <w:rsid w:val="00CE6EA4"/>
    <w:rsid w:val="00CE7BDA"/>
    <w:rsid w:val="00CF05B6"/>
    <w:rsid w:val="00CF50A9"/>
    <w:rsid w:val="00CF6D13"/>
    <w:rsid w:val="00D0458A"/>
    <w:rsid w:val="00D05517"/>
    <w:rsid w:val="00D14303"/>
    <w:rsid w:val="00D20C16"/>
    <w:rsid w:val="00D27BFE"/>
    <w:rsid w:val="00D30363"/>
    <w:rsid w:val="00D31A6E"/>
    <w:rsid w:val="00D37AFB"/>
    <w:rsid w:val="00D42862"/>
    <w:rsid w:val="00D440FB"/>
    <w:rsid w:val="00D46130"/>
    <w:rsid w:val="00D532B2"/>
    <w:rsid w:val="00D5525A"/>
    <w:rsid w:val="00D60ED9"/>
    <w:rsid w:val="00D64704"/>
    <w:rsid w:val="00D65ED7"/>
    <w:rsid w:val="00D74854"/>
    <w:rsid w:val="00D76E0E"/>
    <w:rsid w:val="00D8213E"/>
    <w:rsid w:val="00D90D2A"/>
    <w:rsid w:val="00D9337A"/>
    <w:rsid w:val="00D95AC0"/>
    <w:rsid w:val="00D979BE"/>
    <w:rsid w:val="00D979DF"/>
    <w:rsid w:val="00DB26EE"/>
    <w:rsid w:val="00DB7586"/>
    <w:rsid w:val="00DC44E1"/>
    <w:rsid w:val="00DC5177"/>
    <w:rsid w:val="00DC61AD"/>
    <w:rsid w:val="00DD2EFD"/>
    <w:rsid w:val="00DD3036"/>
    <w:rsid w:val="00DD317D"/>
    <w:rsid w:val="00DD70D8"/>
    <w:rsid w:val="00DE1EE7"/>
    <w:rsid w:val="00DF6FD3"/>
    <w:rsid w:val="00E01907"/>
    <w:rsid w:val="00E030D0"/>
    <w:rsid w:val="00E06172"/>
    <w:rsid w:val="00E10FD2"/>
    <w:rsid w:val="00E112BA"/>
    <w:rsid w:val="00E113EB"/>
    <w:rsid w:val="00E13436"/>
    <w:rsid w:val="00E1606C"/>
    <w:rsid w:val="00E263C3"/>
    <w:rsid w:val="00E268C5"/>
    <w:rsid w:val="00E30D38"/>
    <w:rsid w:val="00E314A1"/>
    <w:rsid w:val="00E326C8"/>
    <w:rsid w:val="00E34C75"/>
    <w:rsid w:val="00E35A90"/>
    <w:rsid w:val="00E479A0"/>
    <w:rsid w:val="00E505DF"/>
    <w:rsid w:val="00E54334"/>
    <w:rsid w:val="00E612E0"/>
    <w:rsid w:val="00E61CB0"/>
    <w:rsid w:val="00E63550"/>
    <w:rsid w:val="00E74D59"/>
    <w:rsid w:val="00E75F3B"/>
    <w:rsid w:val="00E767E0"/>
    <w:rsid w:val="00E83B9A"/>
    <w:rsid w:val="00E861C3"/>
    <w:rsid w:val="00E91AC6"/>
    <w:rsid w:val="00E951BA"/>
    <w:rsid w:val="00E9535C"/>
    <w:rsid w:val="00E97704"/>
    <w:rsid w:val="00EA4319"/>
    <w:rsid w:val="00EA55B9"/>
    <w:rsid w:val="00EB6574"/>
    <w:rsid w:val="00EC5780"/>
    <w:rsid w:val="00EC62C3"/>
    <w:rsid w:val="00ED620B"/>
    <w:rsid w:val="00EE321E"/>
    <w:rsid w:val="00EF191B"/>
    <w:rsid w:val="00EF4879"/>
    <w:rsid w:val="00EF615F"/>
    <w:rsid w:val="00EF6DA7"/>
    <w:rsid w:val="00F04D03"/>
    <w:rsid w:val="00F07555"/>
    <w:rsid w:val="00F15D49"/>
    <w:rsid w:val="00F36DD7"/>
    <w:rsid w:val="00F370FE"/>
    <w:rsid w:val="00F378CA"/>
    <w:rsid w:val="00F44300"/>
    <w:rsid w:val="00F51353"/>
    <w:rsid w:val="00F51BBD"/>
    <w:rsid w:val="00F569E0"/>
    <w:rsid w:val="00F6216B"/>
    <w:rsid w:val="00F631EF"/>
    <w:rsid w:val="00F6377E"/>
    <w:rsid w:val="00F677EC"/>
    <w:rsid w:val="00F765FB"/>
    <w:rsid w:val="00F81927"/>
    <w:rsid w:val="00F83744"/>
    <w:rsid w:val="00F8525F"/>
    <w:rsid w:val="00F865EF"/>
    <w:rsid w:val="00F87DFF"/>
    <w:rsid w:val="00F96B84"/>
    <w:rsid w:val="00FA2070"/>
    <w:rsid w:val="00FA573C"/>
    <w:rsid w:val="00FA5806"/>
    <w:rsid w:val="00FA769B"/>
    <w:rsid w:val="00FB1332"/>
    <w:rsid w:val="00FB292B"/>
    <w:rsid w:val="00FB356D"/>
    <w:rsid w:val="00FB62A1"/>
    <w:rsid w:val="00FB6F55"/>
    <w:rsid w:val="00FC06F7"/>
    <w:rsid w:val="00FC53F7"/>
    <w:rsid w:val="00FC7385"/>
    <w:rsid w:val="00FC7E84"/>
    <w:rsid w:val="00FD2870"/>
    <w:rsid w:val="00FD3A01"/>
    <w:rsid w:val="00FE2F49"/>
    <w:rsid w:val="00FF1152"/>
    <w:rsid w:val="00FF4D45"/>
    <w:rsid w:val="00FF55FB"/>
    <w:rsid w:val="00FF5FCB"/>
    <w:rsid w:val="00FF6AD8"/>
    <w:rsid w:val="00FF6E67"/>
    <w:rsid w:val="30C6D0A9"/>
    <w:rsid w:val="3F2FABD2"/>
    <w:rsid w:val="56ACD58B"/>
    <w:rsid w:val="604C6CA9"/>
    <w:rsid w:val="68BD5794"/>
    <w:rsid w:val="750D2CF7"/>
    <w:rsid w:val="7CD1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D99A"/>
  <w15:docId w15:val="{45E0C81B-99D7-4748-89DC-1FE664F5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21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D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FF6E67"/>
    <w:rPr>
      <w:rFonts w:ascii="Tahoma" w:hAnsi="Tahoma" w:cs="Tahoma"/>
      <w:sz w:val="16"/>
      <w:szCs w:val="16"/>
    </w:rPr>
  </w:style>
  <w:style w:type="character" w:customStyle="1" w:styleId="BalloonTextChar">
    <w:name w:val="Balloon Text Char"/>
    <w:basedOn w:val="DefaultParagraphFont"/>
    <w:link w:val="BalloonText"/>
    <w:uiPriority w:val="99"/>
    <w:semiHidden/>
    <w:rsid w:val="00FF6E67"/>
    <w:rPr>
      <w:rFonts w:ascii="Tahoma" w:hAnsi="Tahoma" w:cs="Tahoma"/>
      <w:sz w:val="16"/>
      <w:szCs w:val="16"/>
    </w:rPr>
  </w:style>
  <w:style w:type="table" w:styleId="TableGrid">
    <w:name w:val="Table Grid"/>
    <w:basedOn w:val="TableNormal"/>
    <w:uiPriority w:val="59"/>
    <w:rsid w:val="00FF6E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F6E67"/>
    <w:pPr>
      <w:ind w:left="720"/>
      <w:contextualSpacing/>
    </w:pPr>
  </w:style>
  <w:style w:type="paragraph" w:styleId="Header">
    <w:name w:val="header"/>
    <w:basedOn w:val="Normal"/>
    <w:link w:val="HeaderChar"/>
    <w:uiPriority w:val="99"/>
    <w:unhideWhenUsed/>
    <w:rsid w:val="003937C0"/>
    <w:pPr>
      <w:tabs>
        <w:tab w:val="center" w:pos="4680"/>
        <w:tab w:val="right" w:pos="9360"/>
      </w:tabs>
    </w:pPr>
  </w:style>
  <w:style w:type="character" w:customStyle="1" w:styleId="HeaderChar">
    <w:name w:val="Header Char"/>
    <w:basedOn w:val="DefaultParagraphFont"/>
    <w:link w:val="Header"/>
    <w:uiPriority w:val="99"/>
    <w:rsid w:val="003937C0"/>
  </w:style>
  <w:style w:type="paragraph" w:styleId="Footer">
    <w:name w:val="footer"/>
    <w:basedOn w:val="Normal"/>
    <w:link w:val="FooterChar"/>
    <w:uiPriority w:val="99"/>
    <w:unhideWhenUsed/>
    <w:rsid w:val="003937C0"/>
    <w:pPr>
      <w:tabs>
        <w:tab w:val="center" w:pos="4680"/>
        <w:tab w:val="right" w:pos="9360"/>
      </w:tabs>
    </w:pPr>
  </w:style>
  <w:style w:type="character" w:customStyle="1" w:styleId="FooterChar">
    <w:name w:val="Footer Char"/>
    <w:basedOn w:val="DefaultParagraphFont"/>
    <w:link w:val="Footer"/>
    <w:uiPriority w:val="99"/>
    <w:rsid w:val="003937C0"/>
  </w:style>
  <w:style w:type="paragraph" w:styleId="NoSpacing">
    <w:name w:val="No Spacing"/>
    <w:uiPriority w:val="1"/>
    <w:qFormat/>
    <w:rsid w:val="0079256D"/>
    <w:pPr>
      <w:ind w:left="0"/>
    </w:pPr>
  </w:style>
  <w:style w:type="paragraph" w:customStyle="1" w:styleId="Default">
    <w:name w:val="Default"/>
    <w:rsid w:val="005349BF"/>
    <w:pPr>
      <w:autoSpaceDE w:val="0"/>
      <w:autoSpaceDN w:val="0"/>
      <w:adjustRightInd w:val="0"/>
      <w:ind w:left="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FF337-B000-4CFA-9D00-D8C9215D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12</Pages>
  <Words>2687</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Dennis Gash</dc:creator>
  <cp:lastModifiedBy>Phyllis Okrepkie</cp:lastModifiedBy>
  <cp:revision>12</cp:revision>
  <cp:lastPrinted>2020-03-30T14:27:00Z</cp:lastPrinted>
  <dcterms:created xsi:type="dcterms:W3CDTF">2020-04-09T13:06:00Z</dcterms:created>
  <dcterms:modified xsi:type="dcterms:W3CDTF">2020-04-15T15:56:00Z</dcterms:modified>
</cp:coreProperties>
</file>