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4D63B" w14:textId="77777777" w:rsidR="00473DB6" w:rsidRDefault="001865DE" w:rsidP="00FF6E67">
      <w:pPr>
        <w:jc w:val="center"/>
      </w:pPr>
      <w:r w:rsidRPr="001865DE">
        <w:rPr>
          <w:noProof/>
        </w:rPr>
        <w:drawing>
          <wp:anchor distT="0" distB="0" distL="114300" distR="114300" simplePos="0" relativeHeight="251656192" behindDoc="0" locked="0" layoutInCell="1" allowOverlap="1" wp14:anchorId="083E4B1C" wp14:editId="17DB64D1">
            <wp:simplePos x="0" y="0"/>
            <wp:positionH relativeFrom="page">
              <wp:posOffset>1748333</wp:posOffset>
            </wp:positionH>
            <wp:positionV relativeFrom="page">
              <wp:posOffset>789642</wp:posOffset>
            </wp:positionV>
            <wp:extent cx="4279392" cy="1151619"/>
            <wp:effectExtent l="0" t="0" r="698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279392" cy="11516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95B3C79" w14:textId="77777777" w:rsidR="001865DE" w:rsidRDefault="001865DE" w:rsidP="00FF6E67">
      <w:pPr>
        <w:ind w:left="0"/>
        <w:jc w:val="center"/>
        <w:rPr>
          <w:b/>
        </w:rPr>
      </w:pPr>
    </w:p>
    <w:p w14:paraId="5C2BB9C8" w14:textId="77777777" w:rsidR="001865DE" w:rsidRDefault="001865DE" w:rsidP="00FF6E67">
      <w:pPr>
        <w:ind w:left="0"/>
        <w:jc w:val="center"/>
        <w:rPr>
          <w:b/>
        </w:rPr>
      </w:pPr>
    </w:p>
    <w:p w14:paraId="148326F8" w14:textId="77777777" w:rsidR="001865DE" w:rsidRDefault="001865DE" w:rsidP="00FF6E67">
      <w:pPr>
        <w:ind w:left="0"/>
        <w:jc w:val="center"/>
        <w:rPr>
          <w:b/>
        </w:rPr>
      </w:pPr>
    </w:p>
    <w:p w14:paraId="067AAE7F" w14:textId="77777777" w:rsidR="001865DE" w:rsidRDefault="001865DE" w:rsidP="00FF6E67">
      <w:pPr>
        <w:ind w:left="0"/>
        <w:jc w:val="center"/>
        <w:rPr>
          <w:b/>
        </w:rPr>
      </w:pPr>
    </w:p>
    <w:p w14:paraId="2B84ECAB" w14:textId="77777777" w:rsidR="001865DE" w:rsidRDefault="001865DE" w:rsidP="00FF6E67">
      <w:pPr>
        <w:ind w:left="0"/>
        <w:jc w:val="center"/>
        <w:rPr>
          <w:b/>
        </w:rPr>
      </w:pPr>
    </w:p>
    <w:p w14:paraId="25782E3F" w14:textId="77777777" w:rsidR="001865DE" w:rsidRDefault="001865DE" w:rsidP="00FF6E67">
      <w:pPr>
        <w:ind w:left="0"/>
        <w:jc w:val="center"/>
        <w:rPr>
          <w:b/>
        </w:rPr>
      </w:pPr>
    </w:p>
    <w:p w14:paraId="0E92DD5D" w14:textId="77777777" w:rsidR="001865DE" w:rsidRDefault="001865DE" w:rsidP="00FF6E67">
      <w:pPr>
        <w:ind w:left="0"/>
        <w:jc w:val="center"/>
        <w:rPr>
          <w:b/>
        </w:rPr>
      </w:pPr>
    </w:p>
    <w:p w14:paraId="3342EE49" w14:textId="77777777" w:rsidR="001865DE" w:rsidRDefault="001865DE" w:rsidP="00FF6E67">
      <w:pPr>
        <w:ind w:left="0"/>
        <w:jc w:val="center"/>
        <w:rPr>
          <w:b/>
        </w:rPr>
      </w:pPr>
    </w:p>
    <w:p w14:paraId="29BC3486" w14:textId="77777777" w:rsidR="00812EEE" w:rsidRPr="00812EEE" w:rsidRDefault="00812EEE" w:rsidP="004A5562">
      <w:pPr>
        <w:ind w:left="0"/>
        <w:jc w:val="center"/>
        <w:rPr>
          <w:sz w:val="28"/>
          <w:szCs w:val="28"/>
        </w:rPr>
      </w:pPr>
    </w:p>
    <w:p w14:paraId="3437AF87" w14:textId="69E2289D" w:rsidR="00FF6E67" w:rsidRDefault="750D2CF7" w:rsidP="3F2FABD2">
      <w:pPr>
        <w:ind w:left="0"/>
        <w:jc w:val="center"/>
        <w:rPr>
          <w:b/>
          <w:bCs/>
          <w:sz w:val="28"/>
          <w:szCs w:val="28"/>
        </w:rPr>
      </w:pPr>
      <w:r w:rsidRPr="750D2CF7">
        <w:rPr>
          <w:b/>
          <w:bCs/>
          <w:sz w:val="28"/>
          <w:szCs w:val="28"/>
        </w:rPr>
        <w:t>BOARD OF COMMISSIONERS MEETING</w:t>
      </w:r>
    </w:p>
    <w:p w14:paraId="37A640C4" w14:textId="6F255408" w:rsidR="750D2CF7" w:rsidRDefault="750D2CF7" w:rsidP="750D2CF7">
      <w:pPr>
        <w:spacing w:line="259" w:lineRule="auto"/>
        <w:ind w:left="0"/>
        <w:jc w:val="center"/>
      </w:pPr>
      <w:r w:rsidRPr="750D2CF7">
        <w:rPr>
          <w:b/>
          <w:bCs/>
          <w:sz w:val="28"/>
          <w:szCs w:val="28"/>
        </w:rPr>
        <w:t>Agenda</w:t>
      </w:r>
    </w:p>
    <w:p w14:paraId="5755A662" w14:textId="77777777" w:rsidR="00EF4879" w:rsidRDefault="00EF4879" w:rsidP="004A5562">
      <w:pPr>
        <w:ind w:left="0"/>
        <w:jc w:val="center"/>
      </w:pPr>
    </w:p>
    <w:p w14:paraId="0B30D694" w14:textId="000BB90E" w:rsidR="750D2CF7" w:rsidRDefault="750D2CF7" w:rsidP="750D2CF7">
      <w:pPr>
        <w:spacing w:line="259" w:lineRule="auto"/>
        <w:ind w:left="0"/>
        <w:jc w:val="center"/>
      </w:pPr>
      <w:r w:rsidRPr="750D2CF7">
        <w:rPr>
          <w:b/>
          <w:bCs/>
          <w:sz w:val="24"/>
          <w:szCs w:val="24"/>
        </w:rPr>
        <w:t>Courtyard Marriott Bloomington</w:t>
      </w:r>
    </w:p>
    <w:p w14:paraId="5C047D42" w14:textId="700BD24D" w:rsidR="750D2CF7" w:rsidRDefault="750D2CF7" w:rsidP="750D2CF7">
      <w:pPr>
        <w:spacing w:line="259" w:lineRule="auto"/>
        <w:ind w:left="0"/>
        <w:jc w:val="center"/>
        <w:rPr>
          <w:b/>
          <w:bCs/>
          <w:sz w:val="24"/>
          <w:szCs w:val="24"/>
        </w:rPr>
      </w:pPr>
      <w:r w:rsidRPr="750D2CF7">
        <w:rPr>
          <w:b/>
          <w:bCs/>
          <w:sz w:val="24"/>
          <w:szCs w:val="24"/>
        </w:rPr>
        <w:t xml:space="preserve">July </w:t>
      </w:r>
      <w:r w:rsidR="008B709F">
        <w:rPr>
          <w:b/>
          <w:bCs/>
          <w:sz w:val="24"/>
          <w:szCs w:val="24"/>
        </w:rPr>
        <w:t>16-17, 2019</w:t>
      </w:r>
    </w:p>
    <w:p w14:paraId="7C7D78D3" w14:textId="77777777" w:rsidR="0016508F" w:rsidRPr="0016508F" w:rsidRDefault="003260B3" w:rsidP="00FF6E67">
      <w:pPr>
        <w:ind w:left="0"/>
        <w:jc w:val="center"/>
      </w:pPr>
      <w:r>
        <w:rPr>
          <w:b/>
          <w:color w:val="FFFFFF" w:themeColor="background1"/>
        </w:rPr>
        <w:t xml:space="preserve"> </w:t>
      </w:r>
    </w:p>
    <w:tbl>
      <w:tblPr>
        <w:tblStyle w:val="TableGrid"/>
        <w:tblW w:w="9370"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447"/>
        <w:gridCol w:w="6390"/>
        <w:gridCol w:w="2533"/>
      </w:tblGrid>
      <w:tr w:rsidR="00876509" w:rsidRPr="00EF4879" w14:paraId="516FC954" w14:textId="77777777" w:rsidTr="029525AA">
        <w:trPr>
          <w:cantSplit/>
          <w:trHeight w:val="576"/>
          <w:tblHeader/>
          <w:jc w:val="center"/>
        </w:trPr>
        <w:tc>
          <w:tcPr>
            <w:tcW w:w="447" w:type="dxa"/>
            <w:tcBorders>
              <w:top w:val="single" w:sz="2" w:space="0" w:color="auto"/>
              <w:bottom w:val="nil"/>
              <w:right w:val="single" w:sz="2" w:space="0" w:color="FFFFFF" w:themeColor="background1"/>
            </w:tcBorders>
            <w:shd w:val="clear" w:color="auto" w:fill="002060"/>
            <w:tcMar>
              <w:top w:w="0" w:type="dxa"/>
              <w:bottom w:w="0" w:type="dxa"/>
            </w:tcMar>
            <w:vAlign w:val="center"/>
          </w:tcPr>
          <w:p w14:paraId="74911F19" w14:textId="77777777" w:rsidR="00876509" w:rsidRDefault="3F2FABD2" w:rsidP="3F2FABD2">
            <w:pPr>
              <w:ind w:left="0"/>
              <w:jc w:val="center"/>
              <w:rPr>
                <w:b/>
                <w:bCs/>
              </w:rPr>
            </w:pPr>
            <w:r w:rsidRPr="3F2FABD2">
              <w:rPr>
                <w:b/>
                <w:bCs/>
              </w:rPr>
              <w:t>#</w:t>
            </w:r>
          </w:p>
        </w:tc>
        <w:tc>
          <w:tcPr>
            <w:tcW w:w="6390" w:type="dxa"/>
            <w:tcBorders>
              <w:top w:val="single" w:sz="2" w:space="0" w:color="auto"/>
              <w:left w:val="single" w:sz="2" w:space="0" w:color="FFFFFF" w:themeColor="background1"/>
              <w:bottom w:val="nil"/>
              <w:right w:val="single" w:sz="2" w:space="0" w:color="FFFFFF" w:themeColor="background1"/>
            </w:tcBorders>
            <w:shd w:val="clear" w:color="auto" w:fill="002060"/>
            <w:tcMar>
              <w:top w:w="0" w:type="dxa"/>
              <w:left w:w="0" w:type="dxa"/>
              <w:bottom w:w="0" w:type="dxa"/>
              <w:right w:w="0" w:type="dxa"/>
            </w:tcMar>
            <w:vAlign w:val="center"/>
          </w:tcPr>
          <w:p w14:paraId="7E630A60" w14:textId="77777777" w:rsidR="00876509" w:rsidRPr="00EF4879" w:rsidRDefault="3F2FABD2" w:rsidP="3F2FABD2">
            <w:pPr>
              <w:ind w:left="0"/>
              <w:jc w:val="center"/>
              <w:rPr>
                <w:b/>
                <w:bCs/>
              </w:rPr>
            </w:pPr>
            <w:r w:rsidRPr="3F2FABD2">
              <w:rPr>
                <w:b/>
                <w:bCs/>
              </w:rPr>
              <w:t>Item</w:t>
            </w:r>
          </w:p>
        </w:tc>
        <w:tc>
          <w:tcPr>
            <w:tcW w:w="2533" w:type="dxa"/>
            <w:tcBorders>
              <w:top w:val="single" w:sz="2" w:space="0" w:color="auto"/>
              <w:left w:val="single" w:sz="2" w:space="0" w:color="FFFFFF" w:themeColor="background1"/>
              <w:bottom w:val="nil"/>
            </w:tcBorders>
            <w:shd w:val="clear" w:color="auto" w:fill="002060"/>
            <w:tcMar>
              <w:top w:w="0" w:type="dxa"/>
              <w:left w:w="0" w:type="dxa"/>
              <w:bottom w:w="0" w:type="dxa"/>
              <w:right w:w="0" w:type="dxa"/>
            </w:tcMar>
            <w:vAlign w:val="center"/>
          </w:tcPr>
          <w:p w14:paraId="3891EE4D" w14:textId="77777777" w:rsidR="00876509" w:rsidRPr="00EF4879" w:rsidRDefault="3F2FABD2" w:rsidP="3F2FABD2">
            <w:pPr>
              <w:ind w:left="0"/>
              <w:jc w:val="center"/>
              <w:rPr>
                <w:b/>
                <w:bCs/>
              </w:rPr>
            </w:pPr>
            <w:r w:rsidRPr="3F2FABD2">
              <w:rPr>
                <w:b/>
                <w:bCs/>
              </w:rPr>
              <w:t>Presenters</w:t>
            </w:r>
          </w:p>
        </w:tc>
      </w:tr>
      <w:tr w:rsidR="0027780D" w:rsidRPr="00EF4879" w14:paraId="4062100E" w14:textId="77777777" w:rsidTr="029525AA">
        <w:trPr>
          <w:cantSplit/>
          <w:trHeight w:val="432"/>
          <w:jc w:val="center"/>
        </w:trPr>
        <w:tc>
          <w:tcPr>
            <w:tcW w:w="447" w:type="dxa"/>
            <w:tcBorders>
              <w:top w:val="nil"/>
            </w:tcBorders>
            <w:shd w:val="clear" w:color="auto" w:fill="DBE5F1" w:themeFill="accent1" w:themeFillTint="33"/>
            <w:tcMar>
              <w:top w:w="0" w:type="dxa"/>
              <w:bottom w:w="0" w:type="dxa"/>
            </w:tcMar>
            <w:vAlign w:val="center"/>
          </w:tcPr>
          <w:p w14:paraId="488B6EB0" w14:textId="77777777" w:rsidR="0027780D" w:rsidRPr="00EF4879" w:rsidRDefault="3F2FABD2" w:rsidP="3F2FABD2">
            <w:pPr>
              <w:ind w:left="0"/>
              <w:jc w:val="center"/>
              <w:rPr>
                <w:b/>
                <w:bCs/>
              </w:rPr>
            </w:pPr>
            <w:r w:rsidRPr="3F2FABD2">
              <w:rPr>
                <w:b/>
                <w:bCs/>
              </w:rPr>
              <w:t>A</w:t>
            </w:r>
          </w:p>
        </w:tc>
        <w:tc>
          <w:tcPr>
            <w:tcW w:w="8923" w:type="dxa"/>
            <w:gridSpan w:val="2"/>
            <w:tcBorders>
              <w:top w:val="nil"/>
            </w:tcBorders>
            <w:shd w:val="clear" w:color="auto" w:fill="DBE5F1" w:themeFill="accent1" w:themeFillTint="33"/>
            <w:tcMar>
              <w:top w:w="0" w:type="dxa"/>
              <w:bottom w:w="0" w:type="dxa"/>
            </w:tcMar>
            <w:vAlign w:val="center"/>
          </w:tcPr>
          <w:p w14:paraId="2822213E" w14:textId="77777777" w:rsidR="0027780D" w:rsidRPr="00EF4879" w:rsidRDefault="3F2FABD2" w:rsidP="3F2FABD2">
            <w:pPr>
              <w:ind w:left="0"/>
              <w:jc w:val="center"/>
              <w:rPr>
                <w:b/>
                <w:bCs/>
              </w:rPr>
            </w:pPr>
            <w:r w:rsidRPr="3F2FABD2">
              <w:rPr>
                <w:b/>
                <w:bCs/>
              </w:rPr>
              <w:t>PRELIMINARY BUSINESS</w:t>
            </w:r>
          </w:p>
        </w:tc>
      </w:tr>
      <w:tr w:rsidR="00EF4879" w:rsidRPr="00EF4879" w14:paraId="42DBA063" w14:textId="77777777" w:rsidTr="029525AA">
        <w:trPr>
          <w:cantSplit/>
          <w:trHeight w:val="288"/>
          <w:jc w:val="center"/>
        </w:trPr>
        <w:tc>
          <w:tcPr>
            <w:tcW w:w="447" w:type="dxa"/>
            <w:tcMar>
              <w:top w:w="43" w:type="dxa"/>
              <w:left w:w="115" w:type="dxa"/>
              <w:bottom w:w="43" w:type="dxa"/>
              <w:right w:w="115" w:type="dxa"/>
            </w:tcMar>
            <w:vAlign w:val="center"/>
          </w:tcPr>
          <w:p w14:paraId="0D0EBC56" w14:textId="77777777" w:rsidR="00EF4879" w:rsidRPr="00EF4879" w:rsidRDefault="30C6D0A9" w:rsidP="00F81927">
            <w:pPr>
              <w:ind w:left="0"/>
              <w:jc w:val="center"/>
            </w:pPr>
            <w:r>
              <w:t>1</w:t>
            </w:r>
          </w:p>
        </w:tc>
        <w:tc>
          <w:tcPr>
            <w:tcW w:w="6390" w:type="dxa"/>
            <w:tcMar>
              <w:top w:w="43" w:type="dxa"/>
              <w:left w:w="115" w:type="dxa"/>
              <w:bottom w:w="43" w:type="dxa"/>
              <w:right w:w="115" w:type="dxa"/>
            </w:tcMar>
            <w:vAlign w:val="center"/>
          </w:tcPr>
          <w:p w14:paraId="4CFAEC33" w14:textId="32A69F38" w:rsidR="00EF4879" w:rsidRPr="00EF4879" w:rsidRDefault="029525AA" w:rsidP="00F81927">
            <w:pPr>
              <w:ind w:left="0"/>
            </w:pPr>
            <w:r>
              <w:t>Call to Order – 7/16/1919 8:30 a.m.,</w:t>
            </w:r>
            <w:r w:rsidR="00E74FAC">
              <w:t xml:space="preserve"> </w:t>
            </w:r>
            <w:r>
              <w:t>Lunch 12:15-1:20, Adjourn 5:25 pm</w:t>
            </w:r>
          </w:p>
          <w:p w14:paraId="095BDB27" w14:textId="4E50973B" w:rsidR="00EF4879" w:rsidRPr="00EF4879" w:rsidRDefault="029525AA" w:rsidP="029525AA">
            <w:pPr>
              <w:ind w:left="0"/>
            </w:pPr>
            <w:r>
              <w:t>Call to Order - 7/17/19</w:t>
            </w:r>
            <w:r w:rsidR="00411E40">
              <w:t xml:space="preserve"> 8:35 a.m. </w:t>
            </w:r>
            <w:r w:rsidR="001157B4">
              <w:t>Lunch 12:10-</w:t>
            </w:r>
            <w:r w:rsidR="00C76738">
              <w:t>1:05  Adjourn</w:t>
            </w:r>
            <w:r w:rsidR="008457FA">
              <w:t>1:20 for Closed Board Session</w:t>
            </w:r>
          </w:p>
        </w:tc>
        <w:tc>
          <w:tcPr>
            <w:tcW w:w="2533" w:type="dxa"/>
            <w:tcMar>
              <w:top w:w="43" w:type="dxa"/>
              <w:left w:w="115" w:type="dxa"/>
              <w:bottom w:w="43" w:type="dxa"/>
              <w:right w:w="115" w:type="dxa"/>
            </w:tcMar>
            <w:vAlign w:val="center"/>
          </w:tcPr>
          <w:p w14:paraId="23F32B94" w14:textId="629DD41F" w:rsidR="00EF4879" w:rsidRPr="00EF4879" w:rsidRDefault="008B709F" w:rsidP="00B37711">
            <w:pPr>
              <w:ind w:left="0"/>
            </w:pPr>
            <w:r>
              <w:t>Hafford</w:t>
            </w:r>
          </w:p>
        </w:tc>
      </w:tr>
      <w:tr w:rsidR="00CE6EA4" w:rsidRPr="00EF4879" w14:paraId="67A4B5DD" w14:textId="77777777" w:rsidTr="029525AA">
        <w:trPr>
          <w:cantSplit/>
          <w:trHeight w:val="432"/>
          <w:jc w:val="center"/>
        </w:trPr>
        <w:tc>
          <w:tcPr>
            <w:tcW w:w="447" w:type="dxa"/>
            <w:tcMar>
              <w:top w:w="43" w:type="dxa"/>
              <w:left w:w="115" w:type="dxa"/>
              <w:bottom w:w="43" w:type="dxa"/>
              <w:right w:w="115" w:type="dxa"/>
            </w:tcMar>
          </w:tcPr>
          <w:p w14:paraId="7EA4C4B6" w14:textId="77777777" w:rsidR="00CE6EA4" w:rsidRPr="00EF4879" w:rsidRDefault="30C6D0A9" w:rsidP="00CE6EA4">
            <w:pPr>
              <w:ind w:left="0"/>
              <w:jc w:val="center"/>
            </w:pPr>
            <w:r>
              <w:t>2</w:t>
            </w:r>
          </w:p>
        </w:tc>
        <w:tc>
          <w:tcPr>
            <w:tcW w:w="6390" w:type="dxa"/>
            <w:tcMar>
              <w:top w:w="43" w:type="dxa"/>
              <w:left w:w="115" w:type="dxa"/>
              <w:bottom w:w="43" w:type="dxa"/>
              <w:right w:w="115" w:type="dxa"/>
            </w:tcMar>
          </w:tcPr>
          <w:p w14:paraId="121B76A7" w14:textId="77777777" w:rsidR="00CE6EA4" w:rsidRDefault="3F2FABD2" w:rsidP="00CE6EA4">
            <w:pPr>
              <w:ind w:left="0"/>
            </w:pPr>
            <w:r>
              <w:t>Recording of Attendance:</w:t>
            </w:r>
          </w:p>
          <w:p w14:paraId="42A393F3" w14:textId="77777777" w:rsidR="00CE6EA4" w:rsidRDefault="00CE6EA4" w:rsidP="00CE6EA4">
            <w:pPr>
              <w:ind w:left="0"/>
            </w:pPr>
          </w:p>
          <w:p w14:paraId="186F9C5C" w14:textId="77777777" w:rsidR="00CE6EA4" w:rsidRPr="00F81927" w:rsidRDefault="3F2FABD2" w:rsidP="3F2FABD2">
            <w:pPr>
              <w:ind w:left="0"/>
              <w:rPr>
                <w:i/>
                <w:iCs/>
              </w:rPr>
            </w:pPr>
            <w:r w:rsidRPr="3F2FABD2">
              <w:rPr>
                <w:i/>
                <w:iCs/>
              </w:rPr>
              <w:t>Commissioners:</w:t>
            </w:r>
          </w:p>
          <w:p w14:paraId="2A525880" w14:textId="0E57554D" w:rsidR="00CE6EA4" w:rsidRDefault="00CE6EA4" w:rsidP="001977CF">
            <w:pPr>
              <w:pStyle w:val="ListParagraph"/>
              <w:numPr>
                <w:ilvl w:val="1"/>
                <w:numId w:val="2"/>
              </w:numPr>
              <w:spacing w:before="60"/>
              <w:ind w:left="288" w:hanging="288"/>
              <w:contextualSpacing w:val="0"/>
            </w:pPr>
            <w:r>
              <w:t>Hafford, Patrick</w:t>
            </w:r>
            <w:r w:rsidR="008B709F">
              <w:t xml:space="preserve"> (Chair)</w:t>
            </w:r>
            <w:r>
              <w:tab/>
            </w:r>
            <w:r w:rsidR="001D5254">
              <w:sym w:font="Wingdings" w:char="F078"/>
            </w:r>
            <w:r w:rsidR="00365B11" w:rsidRPr="00EF4879">
              <w:t>Present</w:t>
            </w:r>
            <w:r w:rsidRPr="00EF4879">
              <w:tab/>
            </w:r>
            <w:r w:rsidRPr="00EF4879">
              <w:sym w:font="Wingdings" w:char="F072"/>
            </w:r>
            <w:r w:rsidRPr="00EF4879">
              <w:t xml:space="preserve"> Absent</w:t>
            </w:r>
          </w:p>
          <w:p w14:paraId="3419EB5C" w14:textId="35CDF69C" w:rsidR="00CE6EA4" w:rsidRDefault="00CE6EA4" w:rsidP="001977CF">
            <w:pPr>
              <w:pStyle w:val="ListParagraph"/>
              <w:numPr>
                <w:ilvl w:val="1"/>
                <w:numId w:val="2"/>
              </w:numPr>
              <w:spacing w:before="60"/>
              <w:ind w:left="288" w:hanging="288"/>
              <w:contextualSpacing w:val="0"/>
            </w:pPr>
            <w:r>
              <w:t>Hatton, Mark</w:t>
            </w:r>
            <w:r>
              <w:tab/>
            </w:r>
            <w:r>
              <w:tab/>
            </w:r>
            <w:r w:rsidR="001D5254">
              <w:sym w:font="Wingdings" w:char="F078"/>
            </w:r>
            <w:r w:rsidR="00365B11" w:rsidRPr="00EF4879">
              <w:t>Present</w:t>
            </w:r>
            <w:r w:rsidRPr="00EF4879">
              <w:tab/>
            </w:r>
            <w:r w:rsidRPr="00EF4879">
              <w:sym w:font="Wingdings" w:char="F072"/>
            </w:r>
            <w:r w:rsidRPr="00EF4879">
              <w:t xml:space="preserve"> Absent</w:t>
            </w:r>
          </w:p>
          <w:p w14:paraId="6B307C86" w14:textId="2F6A8911" w:rsidR="00CE6EA4" w:rsidRDefault="008B709F" w:rsidP="001977CF">
            <w:pPr>
              <w:pStyle w:val="ListParagraph"/>
              <w:numPr>
                <w:ilvl w:val="1"/>
                <w:numId w:val="2"/>
              </w:numPr>
              <w:spacing w:before="60"/>
              <w:ind w:left="288" w:hanging="288"/>
              <w:contextualSpacing w:val="0"/>
            </w:pPr>
            <w:r>
              <w:t>Kovacs, Kati</w:t>
            </w:r>
            <w:r w:rsidR="00CE6EA4">
              <w:tab/>
            </w:r>
            <w:r>
              <w:t xml:space="preserve">               </w:t>
            </w:r>
            <w:r w:rsidR="00CE6EA4">
              <w:tab/>
            </w:r>
            <w:r w:rsidR="001D5254">
              <w:sym w:font="Wingdings" w:char="F078"/>
            </w:r>
            <w:r w:rsidR="00365B11" w:rsidRPr="00EF4879">
              <w:t>Present</w:t>
            </w:r>
            <w:r w:rsidR="00CE6EA4" w:rsidRPr="00EF4879">
              <w:tab/>
            </w:r>
            <w:r w:rsidR="00CE6EA4" w:rsidRPr="00EF4879">
              <w:sym w:font="Wingdings" w:char="F072"/>
            </w:r>
            <w:r w:rsidR="00CE6EA4" w:rsidRPr="00EF4879">
              <w:t xml:space="preserve"> Absent</w:t>
            </w:r>
          </w:p>
          <w:p w14:paraId="27B626F7" w14:textId="4CC2E19B" w:rsidR="008B709F" w:rsidRDefault="008B709F" w:rsidP="008B709F">
            <w:pPr>
              <w:pStyle w:val="ListParagraph"/>
              <w:numPr>
                <w:ilvl w:val="1"/>
                <w:numId w:val="2"/>
              </w:numPr>
              <w:spacing w:before="60"/>
              <w:ind w:left="288" w:hanging="288"/>
              <w:contextualSpacing w:val="0"/>
            </w:pPr>
            <w:r>
              <w:t>Marker, David</w:t>
            </w:r>
            <w:r>
              <w:tab/>
              <w:t xml:space="preserve">            </w:t>
            </w:r>
            <w:r w:rsidR="003C13D0">
              <w:t xml:space="preserve"> </w:t>
            </w:r>
            <w:r>
              <w:t xml:space="preserve"> </w:t>
            </w:r>
            <w:r w:rsidR="001D5254">
              <w:sym w:font="Wingdings" w:char="F078"/>
            </w:r>
            <w:r w:rsidRPr="00EF4879">
              <w:t>Present</w:t>
            </w:r>
            <w:r w:rsidRPr="00EF4879">
              <w:tab/>
            </w:r>
            <w:r w:rsidRPr="00EF4879">
              <w:sym w:font="Wingdings" w:char="F072"/>
            </w:r>
            <w:r w:rsidRPr="00EF4879">
              <w:t xml:space="preserve"> Absent</w:t>
            </w:r>
          </w:p>
          <w:p w14:paraId="4E7B8810" w14:textId="56AFCBB1" w:rsidR="006F2ADF" w:rsidRDefault="006F2ADF" w:rsidP="001977CF">
            <w:pPr>
              <w:pStyle w:val="ListParagraph"/>
              <w:numPr>
                <w:ilvl w:val="1"/>
                <w:numId w:val="2"/>
              </w:numPr>
              <w:spacing w:before="60"/>
              <w:ind w:left="288" w:hanging="288"/>
              <w:contextualSpacing w:val="0"/>
            </w:pPr>
            <w:r>
              <w:t>Mosley-Matchett, JD</w:t>
            </w:r>
            <w:r>
              <w:tab/>
            </w:r>
            <w:r>
              <w:tab/>
            </w:r>
            <w:r w:rsidR="001D5254">
              <w:sym w:font="Wingdings" w:char="F078"/>
            </w:r>
            <w:r w:rsidRPr="00EF4879">
              <w:t>Present</w:t>
            </w:r>
            <w:r w:rsidRPr="00EF4879">
              <w:tab/>
            </w:r>
            <w:r w:rsidRPr="00EF4879">
              <w:sym w:font="Wingdings" w:char="F072"/>
            </w:r>
            <w:r w:rsidRPr="00EF4879">
              <w:t xml:space="preserve"> Absent</w:t>
            </w:r>
          </w:p>
          <w:p w14:paraId="3E260768" w14:textId="1E9C78B8" w:rsidR="00CE6EA4" w:rsidRPr="00EF4879" w:rsidRDefault="00CE6EA4" w:rsidP="001977CF">
            <w:pPr>
              <w:pStyle w:val="ListParagraph"/>
              <w:numPr>
                <w:ilvl w:val="1"/>
                <w:numId w:val="2"/>
              </w:numPr>
              <w:spacing w:before="60"/>
              <w:ind w:left="288" w:hanging="288"/>
              <w:contextualSpacing w:val="0"/>
            </w:pPr>
            <w:r>
              <w:t>Reiss</w:t>
            </w:r>
            <w:r w:rsidRPr="00EF4879">
              <w:t xml:space="preserve">, </w:t>
            </w:r>
            <w:r>
              <w:t>Michelle</w:t>
            </w:r>
            <w:r>
              <w:tab/>
            </w:r>
            <w:r w:rsidRPr="00EF4879">
              <w:tab/>
            </w:r>
            <w:r w:rsidR="001D5254">
              <w:sym w:font="Wingdings" w:char="F078"/>
            </w:r>
            <w:r w:rsidR="00365B11" w:rsidRPr="00EF4879">
              <w:t>Present</w:t>
            </w:r>
            <w:r w:rsidRPr="00EF4879">
              <w:tab/>
            </w:r>
            <w:r w:rsidRPr="00EF4879">
              <w:sym w:font="Wingdings" w:char="F072"/>
            </w:r>
            <w:r w:rsidRPr="00EF4879">
              <w:t xml:space="preserve"> Absent</w:t>
            </w:r>
          </w:p>
          <w:p w14:paraId="53F6FBD1" w14:textId="094E78EE" w:rsidR="00CE6EA4" w:rsidRDefault="00CE6EA4" w:rsidP="001977CF">
            <w:pPr>
              <w:pStyle w:val="ListParagraph"/>
              <w:numPr>
                <w:ilvl w:val="1"/>
                <w:numId w:val="2"/>
              </w:numPr>
              <w:spacing w:before="60"/>
              <w:ind w:left="288" w:hanging="288"/>
              <w:contextualSpacing w:val="0"/>
            </w:pPr>
            <w:r>
              <w:t>Sautner, Rhoda</w:t>
            </w:r>
            <w:r>
              <w:tab/>
            </w:r>
            <w:r>
              <w:tab/>
            </w:r>
            <w:r w:rsidR="001D5254">
              <w:sym w:font="Wingdings" w:char="F078"/>
            </w:r>
            <w:r w:rsidR="00365B11" w:rsidRPr="00EF4879">
              <w:t>Present</w:t>
            </w:r>
            <w:r w:rsidR="008C573C" w:rsidRPr="00EF4879">
              <w:tab/>
            </w:r>
            <w:r w:rsidR="008C573C" w:rsidRPr="00EF4879">
              <w:sym w:font="Wingdings" w:char="F072"/>
            </w:r>
            <w:r w:rsidR="008C573C" w:rsidRPr="00EF4879">
              <w:t xml:space="preserve"> Absent</w:t>
            </w:r>
          </w:p>
          <w:p w14:paraId="070F3BD2" w14:textId="6E2F5095" w:rsidR="006F2ADF" w:rsidRDefault="006F2ADF" w:rsidP="001977CF">
            <w:pPr>
              <w:pStyle w:val="ListParagraph"/>
              <w:numPr>
                <w:ilvl w:val="1"/>
                <w:numId w:val="2"/>
              </w:numPr>
              <w:spacing w:before="60"/>
              <w:ind w:left="288" w:hanging="288"/>
              <w:contextualSpacing w:val="0"/>
            </w:pPr>
            <w:r>
              <w:t>Schroeder, Scott</w:t>
            </w:r>
            <w:r>
              <w:tab/>
            </w:r>
            <w:r>
              <w:tab/>
            </w:r>
            <w:r w:rsidR="001D5254">
              <w:sym w:font="Wingdings" w:char="F078"/>
            </w:r>
            <w:r w:rsidRPr="00EF4879">
              <w:t>Present</w:t>
            </w:r>
            <w:r w:rsidRPr="00EF4879">
              <w:tab/>
            </w:r>
            <w:r w:rsidRPr="00EF4879">
              <w:sym w:font="Wingdings" w:char="F072"/>
            </w:r>
            <w:r w:rsidRPr="00EF4879">
              <w:t xml:space="preserve"> Absent</w:t>
            </w:r>
          </w:p>
          <w:p w14:paraId="4527755D" w14:textId="542A3ED1" w:rsidR="00CE6EA4" w:rsidRPr="00EF4879" w:rsidRDefault="00CE6EA4" w:rsidP="001977CF">
            <w:pPr>
              <w:pStyle w:val="ListParagraph"/>
              <w:numPr>
                <w:ilvl w:val="1"/>
                <w:numId w:val="2"/>
              </w:numPr>
              <w:spacing w:before="60"/>
              <w:ind w:left="288" w:hanging="288"/>
              <w:contextualSpacing w:val="0"/>
            </w:pPr>
            <w:r>
              <w:t>Yates, Laurie</w:t>
            </w:r>
            <w:r>
              <w:tab/>
            </w:r>
            <w:r>
              <w:tab/>
            </w:r>
            <w:r>
              <w:tab/>
            </w:r>
            <w:r w:rsidR="001D5254">
              <w:sym w:font="Wingdings" w:char="F078"/>
            </w:r>
            <w:r w:rsidR="006F2ADF" w:rsidRPr="00EF4879">
              <w:t>Present</w:t>
            </w:r>
            <w:r w:rsidRPr="00EF4879">
              <w:tab/>
            </w:r>
            <w:r w:rsidRPr="00EF4879">
              <w:sym w:font="Wingdings" w:char="F072"/>
            </w:r>
            <w:r w:rsidRPr="00EF4879">
              <w:t xml:space="preserve"> Absent</w:t>
            </w:r>
          </w:p>
          <w:p w14:paraId="15CE54F8" w14:textId="77777777" w:rsidR="00CE6EA4" w:rsidRPr="00EF4879" w:rsidRDefault="00CE6EA4" w:rsidP="00CE6EA4">
            <w:pPr>
              <w:ind w:left="0"/>
            </w:pPr>
          </w:p>
          <w:p w14:paraId="279E5BF4" w14:textId="77777777" w:rsidR="00CE6EA4" w:rsidRPr="00F81927" w:rsidRDefault="3F2FABD2" w:rsidP="3F2FABD2">
            <w:pPr>
              <w:ind w:left="0"/>
              <w:rPr>
                <w:i/>
                <w:iCs/>
              </w:rPr>
            </w:pPr>
            <w:r w:rsidRPr="3F2FABD2">
              <w:rPr>
                <w:i/>
                <w:iCs/>
              </w:rPr>
              <w:t>Staff:</w:t>
            </w:r>
          </w:p>
          <w:p w14:paraId="600CAF43" w14:textId="12E9B6F3" w:rsidR="00CE64CD" w:rsidRDefault="00CE64CD" w:rsidP="001977CF">
            <w:pPr>
              <w:pStyle w:val="ListParagraph"/>
              <w:numPr>
                <w:ilvl w:val="0"/>
                <w:numId w:val="3"/>
              </w:numPr>
              <w:spacing w:before="60"/>
              <w:ind w:left="288" w:hanging="288"/>
              <w:contextualSpacing w:val="0"/>
            </w:pPr>
            <w:r>
              <w:t>Collins, Ted</w:t>
            </w:r>
            <w:r w:rsidRPr="00EF4879">
              <w:tab/>
            </w:r>
            <w:r>
              <w:t xml:space="preserve">                             </w:t>
            </w:r>
            <w:r w:rsidR="001D5254">
              <w:sym w:font="Wingdings" w:char="F078"/>
            </w:r>
            <w:r w:rsidR="006F2ADF" w:rsidRPr="00EF4879">
              <w:t>Present</w:t>
            </w:r>
            <w:r w:rsidRPr="00EF4879">
              <w:tab/>
            </w:r>
            <w:r w:rsidRPr="00EF4879">
              <w:sym w:font="Wingdings" w:char="F072"/>
            </w:r>
            <w:r w:rsidRPr="00EF4879">
              <w:t xml:space="preserve"> Absent</w:t>
            </w:r>
          </w:p>
          <w:p w14:paraId="1B6C2D31" w14:textId="6B8922F9" w:rsidR="00B05C5E" w:rsidRPr="00EF4879" w:rsidRDefault="00BE37B1" w:rsidP="00BE37B1">
            <w:pPr>
              <w:pStyle w:val="ListParagraph"/>
              <w:numPr>
                <w:ilvl w:val="0"/>
                <w:numId w:val="3"/>
              </w:numPr>
              <w:spacing w:before="60"/>
              <w:ind w:left="288" w:hanging="288"/>
              <w:contextualSpacing w:val="0"/>
            </w:pPr>
            <w:r>
              <w:t xml:space="preserve">Okrepkie, Phyllis                       </w:t>
            </w:r>
            <w:r>
              <w:sym w:font="Wingdings" w:char="F078"/>
            </w:r>
            <w:r w:rsidRPr="00EF4879">
              <w:t>Present</w:t>
            </w:r>
            <w:r w:rsidRPr="00EF4879">
              <w:tab/>
            </w:r>
            <w:r>
              <w:t>7/16/19 1:30-2:00</w:t>
            </w:r>
          </w:p>
        </w:tc>
        <w:tc>
          <w:tcPr>
            <w:tcW w:w="2533" w:type="dxa"/>
            <w:tcMar>
              <w:top w:w="43" w:type="dxa"/>
              <w:left w:w="115" w:type="dxa"/>
              <w:bottom w:w="43" w:type="dxa"/>
              <w:right w:w="115" w:type="dxa"/>
            </w:tcMar>
          </w:tcPr>
          <w:p w14:paraId="200E822D" w14:textId="0FE2D2E6" w:rsidR="00CE6EA4" w:rsidRPr="00EF4879" w:rsidRDefault="008B709F" w:rsidP="00CE6EA4">
            <w:pPr>
              <w:ind w:left="0"/>
            </w:pPr>
            <w:r>
              <w:t>Hafford</w:t>
            </w:r>
          </w:p>
        </w:tc>
      </w:tr>
      <w:tr w:rsidR="00CE6EA4" w:rsidRPr="00EF4879" w14:paraId="17903093" w14:textId="77777777" w:rsidTr="029525AA">
        <w:trPr>
          <w:cantSplit/>
          <w:trHeight w:val="288"/>
          <w:jc w:val="center"/>
        </w:trPr>
        <w:tc>
          <w:tcPr>
            <w:tcW w:w="447" w:type="dxa"/>
            <w:vAlign w:val="center"/>
          </w:tcPr>
          <w:p w14:paraId="00EF00D0" w14:textId="44B1AF33" w:rsidR="00CE6EA4" w:rsidRPr="00EF4879" w:rsidRDefault="30C6D0A9" w:rsidP="00CE6EA4">
            <w:pPr>
              <w:ind w:left="0"/>
              <w:jc w:val="center"/>
            </w:pPr>
            <w:r>
              <w:t>3</w:t>
            </w:r>
          </w:p>
        </w:tc>
        <w:tc>
          <w:tcPr>
            <w:tcW w:w="6390" w:type="dxa"/>
            <w:vAlign w:val="center"/>
          </w:tcPr>
          <w:p w14:paraId="515FF22E" w14:textId="77777777" w:rsidR="00CE6EA4" w:rsidRDefault="3F2FABD2" w:rsidP="00CE6EA4">
            <w:pPr>
              <w:ind w:left="0"/>
            </w:pPr>
            <w:r>
              <w:t>Review and Revisions of Agenda</w:t>
            </w:r>
          </w:p>
          <w:p w14:paraId="6BFED48C" w14:textId="4FDE2BB9" w:rsidR="0018425C" w:rsidRPr="00EF4879" w:rsidRDefault="009E7587" w:rsidP="00CE6EA4">
            <w:pPr>
              <w:ind w:left="0"/>
            </w:pPr>
            <w:r>
              <w:t xml:space="preserve">Add one item: </w:t>
            </w:r>
            <w:r w:rsidR="0018425C">
              <w:t xml:space="preserve">Subcommittee </w:t>
            </w:r>
            <w:r>
              <w:t>update BOC</w:t>
            </w:r>
            <w:r w:rsidR="0018425C">
              <w:t xml:space="preserve"> </w:t>
            </w:r>
            <w:r>
              <w:t>rating form</w:t>
            </w:r>
            <w:r w:rsidR="0018425C">
              <w:t xml:space="preserve"> for site visitors</w:t>
            </w:r>
          </w:p>
        </w:tc>
        <w:tc>
          <w:tcPr>
            <w:tcW w:w="2533" w:type="dxa"/>
          </w:tcPr>
          <w:p w14:paraId="2A2CE66A" w14:textId="5E96540D" w:rsidR="00CE6EA4" w:rsidRPr="00EF4879" w:rsidRDefault="003C13D0" w:rsidP="00CE6EA4">
            <w:pPr>
              <w:ind w:left="0"/>
            </w:pPr>
            <w:r>
              <w:t>Hafford</w:t>
            </w:r>
          </w:p>
        </w:tc>
      </w:tr>
      <w:tr w:rsidR="00CE6EA4" w:rsidRPr="00EF4879" w14:paraId="6027603B" w14:textId="77777777" w:rsidTr="029525AA">
        <w:trPr>
          <w:cantSplit/>
          <w:trHeight w:val="432"/>
          <w:jc w:val="center"/>
        </w:trPr>
        <w:tc>
          <w:tcPr>
            <w:tcW w:w="447" w:type="dxa"/>
          </w:tcPr>
          <w:p w14:paraId="11A4367F" w14:textId="19065947" w:rsidR="00CE6EA4" w:rsidRPr="00EF4879" w:rsidRDefault="00871B7B" w:rsidP="00CE6EA4">
            <w:pPr>
              <w:ind w:left="0"/>
              <w:jc w:val="center"/>
            </w:pPr>
            <w:r>
              <w:lastRenderedPageBreak/>
              <w:t>4</w:t>
            </w:r>
          </w:p>
        </w:tc>
        <w:tc>
          <w:tcPr>
            <w:tcW w:w="6390" w:type="dxa"/>
          </w:tcPr>
          <w:p w14:paraId="63CB575D" w14:textId="77777777" w:rsidR="00CE6EA4" w:rsidRPr="00EF4879" w:rsidRDefault="3F2FABD2" w:rsidP="00CE6EA4">
            <w:pPr>
              <w:ind w:left="0"/>
            </w:pPr>
            <w:r>
              <w:t>Review and Approval of Minutes of Previous Board Meetings:</w:t>
            </w:r>
          </w:p>
          <w:p w14:paraId="7C9E3D95" w14:textId="260BECC5" w:rsidR="00F51353" w:rsidRPr="00EF4879" w:rsidRDefault="006F2ADF" w:rsidP="00CE6EA4">
            <w:pPr>
              <w:pStyle w:val="ListParagraph"/>
              <w:numPr>
                <w:ilvl w:val="0"/>
                <w:numId w:val="1"/>
              </w:numPr>
              <w:spacing w:before="60"/>
              <w:ind w:left="288" w:hanging="288"/>
              <w:contextualSpacing w:val="0"/>
            </w:pPr>
            <w:r>
              <w:t>April 201</w:t>
            </w:r>
            <w:r w:rsidR="003C13D0">
              <w:t>9</w:t>
            </w:r>
            <w:r w:rsidR="0018425C">
              <w:t xml:space="preserve"> Item six</w:t>
            </w:r>
            <w:r w:rsidR="009E7587">
              <w:t>, complete sentence to read</w:t>
            </w:r>
            <w:r w:rsidR="0018425C">
              <w:t xml:space="preserve"> “</w:t>
            </w:r>
            <w:r w:rsidR="009E7587">
              <w:t>…</w:t>
            </w:r>
            <w:r w:rsidR="0018425C">
              <w:t>same time as “before</w:t>
            </w:r>
            <w:r w:rsidR="009E7587">
              <w:t>’</w:t>
            </w:r>
            <w:r w:rsidR="0018425C">
              <w:t>”. Motion to approve, second. Carried.</w:t>
            </w:r>
          </w:p>
        </w:tc>
        <w:tc>
          <w:tcPr>
            <w:tcW w:w="2533" w:type="dxa"/>
          </w:tcPr>
          <w:p w14:paraId="5DAD65CD" w14:textId="7FAFC0B1" w:rsidR="00CE6EA4" w:rsidRPr="00EF4879" w:rsidRDefault="003C13D0" w:rsidP="00CE6EA4">
            <w:pPr>
              <w:ind w:left="0"/>
            </w:pPr>
            <w:r>
              <w:t>Hafford</w:t>
            </w:r>
          </w:p>
        </w:tc>
      </w:tr>
      <w:tr w:rsidR="00447876" w:rsidRPr="00EF4879" w14:paraId="05A57694" w14:textId="77777777" w:rsidTr="029525AA">
        <w:trPr>
          <w:cantSplit/>
          <w:trHeight w:val="432"/>
          <w:jc w:val="center"/>
        </w:trPr>
        <w:tc>
          <w:tcPr>
            <w:tcW w:w="447" w:type="dxa"/>
          </w:tcPr>
          <w:p w14:paraId="2D8C3346" w14:textId="276036E7" w:rsidR="00447876" w:rsidRPr="006F2ADF" w:rsidRDefault="00871B7B" w:rsidP="00CE6EA4">
            <w:pPr>
              <w:ind w:left="0"/>
              <w:jc w:val="center"/>
            </w:pPr>
            <w:r w:rsidRPr="006F2ADF">
              <w:t>5</w:t>
            </w:r>
          </w:p>
        </w:tc>
        <w:tc>
          <w:tcPr>
            <w:tcW w:w="6390" w:type="dxa"/>
          </w:tcPr>
          <w:p w14:paraId="2DC4A1B7" w14:textId="3C806666" w:rsidR="00447876" w:rsidRDefault="3F2FABD2" w:rsidP="00CE6EA4">
            <w:pPr>
              <w:ind w:left="0"/>
            </w:pPr>
            <w:r>
              <w:t>IACBE Staff Update</w:t>
            </w:r>
            <w:r w:rsidR="009E7587">
              <w:t>: Phyllis reported via Skype on the following:</w:t>
            </w:r>
          </w:p>
          <w:p w14:paraId="3EB74F21" w14:textId="77777777" w:rsidR="009E7587" w:rsidRDefault="009E7587" w:rsidP="009E7587">
            <w:pPr>
              <w:pStyle w:val="ListParagraph"/>
              <w:numPr>
                <w:ilvl w:val="0"/>
                <w:numId w:val="9"/>
              </w:numPr>
              <w:spacing w:after="160" w:line="259" w:lineRule="auto"/>
            </w:pPr>
            <w:r>
              <w:t>Ted made great headway with the notes that were outstanding – we are now able to focus on current notes rather than notes that were given years ago.</w:t>
            </w:r>
          </w:p>
          <w:p w14:paraId="4894E300" w14:textId="77777777" w:rsidR="009E7587" w:rsidRDefault="009E7587" w:rsidP="009E7587">
            <w:pPr>
              <w:pStyle w:val="ListParagraph"/>
              <w:numPr>
                <w:ilvl w:val="0"/>
                <w:numId w:val="9"/>
              </w:numPr>
              <w:spacing w:after="160" w:line="259" w:lineRule="auto"/>
            </w:pPr>
            <w:r>
              <w:t>Added Compliance page to database -we are now able to track submission of the Web Path Notification Form due November 1 and then to determine compliance with posting of the Status Page link and the Student Achievement results.</w:t>
            </w:r>
          </w:p>
          <w:p w14:paraId="32D0F688" w14:textId="77777777" w:rsidR="009E7587" w:rsidRDefault="009E7587" w:rsidP="009E7587">
            <w:pPr>
              <w:pStyle w:val="ListParagraph"/>
              <w:numPr>
                <w:ilvl w:val="0"/>
                <w:numId w:val="9"/>
              </w:numPr>
              <w:spacing w:after="160" w:line="259" w:lineRule="auto"/>
            </w:pPr>
            <w:r>
              <w:t xml:space="preserve">Annual Conference 2020 – working with potential Keynote speakers for both Wednesday and Thursday mornings – </w:t>
            </w:r>
            <w:r>
              <w:br/>
              <w:t>Steadman Graham for Wednesday morning</w:t>
            </w:r>
            <w:r>
              <w:br/>
              <w:t>Dr. Judith Wright and Dr. Bob Wright for Thursday morning</w:t>
            </w:r>
          </w:p>
          <w:p w14:paraId="1D339DBA" w14:textId="77777777" w:rsidR="009E7587" w:rsidRDefault="009E7587" w:rsidP="009E7587">
            <w:pPr>
              <w:pStyle w:val="ListParagraph"/>
              <w:numPr>
                <w:ilvl w:val="0"/>
                <w:numId w:val="9"/>
              </w:numPr>
              <w:spacing w:after="160" w:line="259" w:lineRule="auto"/>
            </w:pPr>
            <w:r>
              <w:t xml:space="preserve">Student case study competition – working with Jordan Levy from </w:t>
            </w:r>
            <w:proofErr w:type="spellStart"/>
            <w:r>
              <w:t>CapSource</w:t>
            </w:r>
            <w:proofErr w:type="spellEnd"/>
            <w:r>
              <w:t>– he will be responsible for the competition - IACBE will host and be a sponsor of the competition</w:t>
            </w:r>
          </w:p>
          <w:p w14:paraId="3B388A35" w14:textId="77777777" w:rsidR="009E7587" w:rsidRDefault="009E7587" w:rsidP="009E7587">
            <w:pPr>
              <w:pStyle w:val="ListParagraph"/>
              <w:numPr>
                <w:ilvl w:val="0"/>
                <w:numId w:val="9"/>
              </w:numPr>
              <w:spacing w:after="160" w:line="259" w:lineRule="auto"/>
            </w:pPr>
            <w:r>
              <w:t>CHEA requested additional information about the change of scope statement which I will provide prior to their fall meeting. I talked with Lori Schroeder, our new contact, and she assured me it wasn’t that they had concerns about the change, but needed additional information.</w:t>
            </w:r>
          </w:p>
          <w:p w14:paraId="143A9332" w14:textId="77777777" w:rsidR="009E7587" w:rsidRDefault="009E7587" w:rsidP="009E7587">
            <w:pPr>
              <w:pStyle w:val="ListParagraph"/>
              <w:numPr>
                <w:ilvl w:val="0"/>
                <w:numId w:val="9"/>
              </w:numPr>
              <w:spacing w:after="160" w:line="259" w:lineRule="auto"/>
            </w:pPr>
            <w:r>
              <w:t>Received feedback on the Transition report that we submitted to CHEA in the spring (report on compliance with new CHEA standards). CHEA had a couple of questions, we need to submit the response to them with the submission that is due in January of 2020.</w:t>
            </w:r>
          </w:p>
          <w:p w14:paraId="01847173" w14:textId="77777777" w:rsidR="009E7587" w:rsidRDefault="009E7587" w:rsidP="009E7587">
            <w:pPr>
              <w:pStyle w:val="ListParagraph"/>
              <w:numPr>
                <w:ilvl w:val="0"/>
                <w:numId w:val="9"/>
              </w:numPr>
              <w:spacing w:after="160" w:line="259" w:lineRule="auto"/>
            </w:pPr>
            <w:r>
              <w:t>Lori is working on a letter to accreditors that are coming up for review – we are due in 2021. She will send that out later this summer so that we can begin to prepare for our recognition review.</w:t>
            </w:r>
          </w:p>
          <w:p w14:paraId="7E39CE4D" w14:textId="77777777" w:rsidR="009E7587" w:rsidRDefault="009E7587" w:rsidP="009E7587">
            <w:pPr>
              <w:pStyle w:val="ListParagraph"/>
              <w:numPr>
                <w:ilvl w:val="0"/>
                <w:numId w:val="9"/>
              </w:numPr>
              <w:spacing w:after="160" w:line="259" w:lineRule="auto"/>
            </w:pPr>
            <w:r>
              <w:t>Ted posted for an “Accreditation Specialist” – we hope to have someone hired by the first of September so that the person can attend the fall Accreditation Institute in Kansas City.</w:t>
            </w:r>
          </w:p>
          <w:p w14:paraId="70B8747D" w14:textId="77777777" w:rsidR="009E7587" w:rsidRDefault="009E7587" w:rsidP="009E7587">
            <w:pPr>
              <w:pStyle w:val="ListParagraph"/>
              <w:numPr>
                <w:ilvl w:val="0"/>
                <w:numId w:val="9"/>
              </w:numPr>
              <w:spacing w:after="160" w:line="259" w:lineRule="auto"/>
            </w:pPr>
            <w:r>
              <w:t>Working on planning for the regional meetings this fall – if you are able, please attend one of the regional meetings.</w:t>
            </w:r>
          </w:p>
          <w:p w14:paraId="7697DB45" w14:textId="18AAEFA6" w:rsidR="003C13D0" w:rsidRDefault="009E7587" w:rsidP="009E7587">
            <w:pPr>
              <w:pStyle w:val="ListParagraph"/>
              <w:numPr>
                <w:ilvl w:val="0"/>
                <w:numId w:val="9"/>
              </w:numPr>
              <w:spacing w:after="160" w:line="259" w:lineRule="auto"/>
            </w:pPr>
            <w:r>
              <w:t>Working with our marketing firm, EAG, to do some updates on the website – we plan to roll out some new things this fall.</w:t>
            </w:r>
            <w:r>
              <w:br/>
            </w:r>
          </w:p>
        </w:tc>
        <w:tc>
          <w:tcPr>
            <w:tcW w:w="2533" w:type="dxa"/>
          </w:tcPr>
          <w:p w14:paraId="3AC3D3E9" w14:textId="2E2578C8" w:rsidR="00447876" w:rsidRDefault="001D5254" w:rsidP="00CE6EA4">
            <w:pPr>
              <w:ind w:left="0"/>
            </w:pPr>
            <w:r>
              <w:t>Okrepkie</w:t>
            </w:r>
          </w:p>
        </w:tc>
      </w:tr>
      <w:tr w:rsidR="009B638D" w:rsidRPr="00EF4879" w14:paraId="1788FA6F" w14:textId="77777777" w:rsidTr="029525AA">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61A3B3D0" w14:textId="77777777" w:rsidR="009B638D" w:rsidRPr="00EF4879" w:rsidRDefault="3F2FABD2" w:rsidP="3F2FABD2">
            <w:pPr>
              <w:ind w:left="0"/>
              <w:jc w:val="center"/>
              <w:rPr>
                <w:b/>
                <w:bCs/>
              </w:rPr>
            </w:pPr>
            <w:r w:rsidRPr="3F2FABD2">
              <w:rPr>
                <w:b/>
                <w:bCs/>
              </w:rPr>
              <w:t>B</w:t>
            </w:r>
          </w:p>
        </w:tc>
        <w:tc>
          <w:tcPr>
            <w:tcW w:w="8923" w:type="dxa"/>
            <w:gridSpan w:val="2"/>
            <w:shd w:val="clear" w:color="auto" w:fill="DBE5F1" w:themeFill="accent1" w:themeFillTint="33"/>
            <w:tcMar>
              <w:top w:w="0" w:type="dxa"/>
              <w:bottom w:w="0" w:type="dxa"/>
            </w:tcMar>
            <w:vAlign w:val="center"/>
          </w:tcPr>
          <w:p w14:paraId="6036207B" w14:textId="77777777" w:rsidR="009B638D" w:rsidRPr="00EF4879" w:rsidRDefault="3F2FABD2" w:rsidP="3F2FABD2">
            <w:pPr>
              <w:ind w:left="0"/>
              <w:jc w:val="center"/>
              <w:rPr>
                <w:b/>
                <w:bCs/>
              </w:rPr>
            </w:pPr>
            <w:r w:rsidRPr="3F2FABD2">
              <w:rPr>
                <w:b/>
                <w:bCs/>
              </w:rPr>
              <w:t xml:space="preserve">FIRST-TIME ACCREDITATION REVIEWS </w:t>
            </w:r>
          </w:p>
        </w:tc>
      </w:tr>
      <w:tr w:rsidR="005D7F69" w:rsidRPr="00EF4879" w14:paraId="5A6CF791" w14:textId="77777777" w:rsidTr="029525AA">
        <w:trPr>
          <w:cantSplit/>
          <w:trHeight w:val="288"/>
          <w:jc w:val="center"/>
        </w:trPr>
        <w:tc>
          <w:tcPr>
            <w:tcW w:w="447" w:type="dxa"/>
            <w:tcMar>
              <w:left w:w="0" w:type="dxa"/>
              <w:right w:w="0" w:type="dxa"/>
            </w:tcMar>
          </w:tcPr>
          <w:p w14:paraId="7CFC2F70" w14:textId="409206A5" w:rsidR="005D7F69" w:rsidRPr="008B07D3" w:rsidRDefault="00871B7B" w:rsidP="0095420F">
            <w:pPr>
              <w:ind w:left="0"/>
              <w:jc w:val="center"/>
            </w:pPr>
            <w:bookmarkStart w:id="0" w:name="_Hlk14163849"/>
            <w:r w:rsidRPr="008B07D3">
              <w:lastRenderedPageBreak/>
              <w:t>6</w:t>
            </w:r>
          </w:p>
        </w:tc>
        <w:tc>
          <w:tcPr>
            <w:tcW w:w="6390" w:type="dxa"/>
            <w:vAlign w:val="center"/>
          </w:tcPr>
          <w:p w14:paraId="71B4E7F3" w14:textId="3A0FDA29" w:rsidR="005D7F69" w:rsidRDefault="003C13D0" w:rsidP="00CE64CD">
            <w:pPr>
              <w:ind w:left="0"/>
              <w:rPr>
                <w:bCs/>
              </w:rPr>
            </w:pPr>
            <w:r>
              <w:rPr>
                <w:bCs/>
              </w:rPr>
              <w:t>Franciscan University</w:t>
            </w:r>
            <w:r w:rsidR="0076172C">
              <w:rPr>
                <w:bCs/>
              </w:rPr>
              <w:t xml:space="preserve"> Accredit with no notes</w:t>
            </w:r>
            <w:r w:rsidR="009E7587">
              <w:rPr>
                <w:bCs/>
              </w:rPr>
              <w:t>, no observations</w:t>
            </w:r>
          </w:p>
        </w:tc>
        <w:tc>
          <w:tcPr>
            <w:tcW w:w="2533" w:type="dxa"/>
            <w:vAlign w:val="center"/>
          </w:tcPr>
          <w:p w14:paraId="00911F5E" w14:textId="5008A8E5" w:rsidR="00FA2070" w:rsidRDefault="003C13D0" w:rsidP="00B37711">
            <w:pPr>
              <w:ind w:left="0"/>
            </w:pPr>
            <w:r>
              <w:t>Sautner/Reiss</w:t>
            </w:r>
          </w:p>
        </w:tc>
      </w:tr>
      <w:tr w:rsidR="003C13D0" w:rsidRPr="00EF4879" w14:paraId="5CDF3D44" w14:textId="77777777" w:rsidTr="029525AA">
        <w:trPr>
          <w:cantSplit/>
          <w:trHeight w:val="288"/>
          <w:jc w:val="center"/>
        </w:trPr>
        <w:tc>
          <w:tcPr>
            <w:tcW w:w="447" w:type="dxa"/>
            <w:tcMar>
              <w:left w:w="0" w:type="dxa"/>
              <w:right w:w="0" w:type="dxa"/>
            </w:tcMar>
          </w:tcPr>
          <w:p w14:paraId="42438849" w14:textId="0AB9E364" w:rsidR="003C13D0" w:rsidRPr="008B07D3" w:rsidRDefault="00AC40AA" w:rsidP="0095420F">
            <w:pPr>
              <w:ind w:left="0"/>
              <w:jc w:val="center"/>
            </w:pPr>
            <w:r>
              <w:t>7</w:t>
            </w:r>
          </w:p>
        </w:tc>
        <w:tc>
          <w:tcPr>
            <w:tcW w:w="6390" w:type="dxa"/>
            <w:vAlign w:val="center"/>
          </w:tcPr>
          <w:p w14:paraId="33D0391A" w14:textId="707053E5" w:rsidR="003C13D0" w:rsidRDefault="003C13D0" w:rsidP="00CE64CD">
            <w:pPr>
              <w:ind w:left="0"/>
              <w:rPr>
                <w:bCs/>
              </w:rPr>
            </w:pPr>
            <w:r>
              <w:rPr>
                <w:bCs/>
              </w:rPr>
              <w:t>State University of New York (SUNY)-</w:t>
            </w:r>
            <w:r w:rsidR="00B46E96">
              <w:rPr>
                <w:bCs/>
              </w:rPr>
              <w:t xml:space="preserve"> </w:t>
            </w:r>
            <w:r>
              <w:rPr>
                <w:bCs/>
              </w:rPr>
              <w:t>Canton</w:t>
            </w:r>
            <w:r w:rsidR="00B46E96">
              <w:rPr>
                <w:bCs/>
              </w:rPr>
              <w:t xml:space="preserve"> Accredit with</w:t>
            </w:r>
            <w:r w:rsidR="00074261">
              <w:rPr>
                <w:bCs/>
              </w:rPr>
              <w:t xml:space="preserve"> Notes: 1.1</w:t>
            </w:r>
            <w:r w:rsidR="009E7587">
              <w:rPr>
                <w:bCs/>
              </w:rPr>
              <w:t xml:space="preserve"> and</w:t>
            </w:r>
            <w:r w:rsidR="00074261">
              <w:rPr>
                <w:bCs/>
              </w:rPr>
              <w:t xml:space="preserve"> 4.1</w:t>
            </w:r>
          </w:p>
        </w:tc>
        <w:tc>
          <w:tcPr>
            <w:tcW w:w="2533" w:type="dxa"/>
            <w:vAlign w:val="center"/>
          </w:tcPr>
          <w:p w14:paraId="562B7974" w14:textId="1B9EC17F" w:rsidR="003C13D0" w:rsidRDefault="003C13D0" w:rsidP="00B37711">
            <w:pPr>
              <w:ind w:left="0"/>
            </w:pPr>
            <w:r>
              <w:t>Reiss/Marker</w:t>
            </w:r>
          </w:p>
        </w:tc>
      </w:tr>
      <w:tr w:rsidR="0095420F" w:rsidRPr="00EF4879" w14:paraId="56CE3449" w14:textId="77777777" w:rsidTr="029525AA">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1AFD9678" w14:textId="77777777" w:rsidR="0095420F" w:rsidRPr="00243A83" w:rsidRDefault="3F2FABD2" w:rsidP="3F2FABD2">
            <w:pPr>
              <w:ind w:left="0"/>
              <w:jc w:val="center"/>
              <w:rPr>
                <w:b/>
                <w:bCs/>
              </w:rPr>
            </w:pPr>
            <w:r w:rsidRPr="3F2FABD2">
              <w:rPr>
                <w:b/>
                <w:bCs/>
              </w:rPr>
              <w:t>C</w:t>
            </w:r>
          </w:p>
        </w:tc>
        <w:tc>
          <w:tcPr>
            <w:tcW w:w="8923" w:type="dxa"/>
            <w:gridSpan w:val="2"/>
            <w:shd w:val="clear" w:color="auto" w:fill="DBE5F1" w:themeFill="accent1" w:themeFillTint="33"/>
            <w:tcMar>
              <w:top w:w="0" w:type="dxa"/>
              <w:bottom w:w="0" w:type="dxa"/>
            </w:tcMar>
            <w:vAlign w:val="center"/>
          </w:tcPr>
          <w:p w14:paraId="0D82323E" w14:textId="77777777" w:rsidR="0095420F" w:rsidRPr="00EF4879" w:rsidRDefault="3F2FABD2" w:rsidP="3F2FABD2">
            <w:pPr>
              <w:ind w:left="0"/>
              <w:jc w:val="center"/>
              <w:rPr>
                <w:b/>
                <w:bCs/>
              </w:rPr>
            </w:pPr>
            <w:r w:rsidRPr="3F2FABD2">
              <w:rPr>
                <w:b/>
                <w:bCs/>
              </w:rPr>
              <w:t xml:space="preserve">REAFFIRMATION OF ACCREDITATION REVIEWS </w:t>
            </w:r>
          </w:p>
        </w:tc>
      </w:tr>
      <w:tr w:rsidR="00B05C5E" w:rsidRPr="00EF4879" w14:paraId="3119D9AA" w14:textId="77777777" w:rsidTr="029525AA">
        <w:trPr>
          <w:cantSplit/>
          <w:trHeight w:val="432"/>
          <w:jc w:val="center"/>
        </w:trPr>
        <w:tc>
          <w:tcPr>
            <w:tcW w:w="447" w:type="dxa"/>
            <w:tcMar>
              <w:left w:w="0" w:type="dxa"/>
              <w:right w:w="0" w:type="dxa"/>
            </w:tcMar>
          </w:tcPr>
          <w:p w14:paraId="3FB8C476" w14:textId="15656285" w:rsidR="00B05C5E" w:rsidRPr="00B40761" w:rsidRDefault="00AC40AA" w:rsidP="00B05C5E">
            <w:pPr>
              <w:ind w:left="0"/>
              <w:jc w:val="center"/>
            </w:pPr>
            <w:r>
              <w:t>8</w:t>
            </w:r>
          </w:p>
        </w:tc>
        <w:tc>
          <w:tcPr>
            <w:tcW w:w="6390" w:type="dxa"/>
            <w:vAlign w:val="center"/>
          </w:tcPr>
          <w:p w14:paraId="2E55CAF2" w14:textId="707DCB33" w:rsidR="00B05C5E" w:rsidRPr="00EF4879" w:rsidRDefault="003C13D0" w:rsidP="00CE64CD">
            <w:pPr>
              <w:ind w:left="0"/>
            </w:pPr>
            <w:r>
              <w:t>American University of Science and Technology (AUST)</w:t>
            </w:r>
            <w:r w:rsidR="00B46E96">
              <w:t xml:space="preserve"> </w:t>
            </w:r>
            <w:r w:rsidR="00CB5D45">
              <w:t>Accredit with one</w:t>
            </w:r>
            <w:r w:rsidR="00B46E96">
              <w:t xml:space="preserve">  Note: 1.1</w:t>
            </w:r>
            <w:r w:rsidR="009E7587">
              <w:t xml:space="preserve"> and</w:t>
            </w:r>
            <w:r w:rsidR="00CB5D45">
              <w:t xml:space="preserve"> </w:t>
            </w:r>
            <w:r w:rsidR="009E7587">
              <w:t>Observation:</w:t>
            </w:r>
            <w:r w:rsidR="00CB5D45">
              <w:t xml:space="preserve"> 4.2</w:t>
            </w:r>
          </w:p>
        </w:tc>
        <w:tc>
          <w:tcPr>
            <w:tcW w:w="2533" w:type="dxa"/>
            <w:vAlign w:val="center"/>
          </w:tcPr>
          <w:p w14:paraId="2FC4EF37" w14:textId="0839CBBE" w:rsidR="00B05C5E" w:rsidRPr="00EF4879" w:rsidRDefault="003C13D0" w:rsidP="00FA2070">
            <w:pPr>
              <w:ind w:left="0"/>
            </w:pPr>
            <w:r>
              <w:t>Mosley-Matchett/Kovacs</w:t>
            </w:r>
          </w:p>
        </w:tc>
      </w:tr>
      <w:tr w:rsidR="00B05C5E" w:rsidRPr="00EF4879" w14:paraId="040EB7FF" w14:textId="77777777" w:rsidTr="029525AA">
        <w:trPr>
          <w:cantSplit/>
          <w:trHeight w:val="432"/>
          <w:jc w:val="center"/>
        </w:trPr>
        <w:tc>
          <w:tcPr>
            <w:tcW w:w="447" w:type="dxa"/>
            <w:tcMar>
              <w:left w:w="0" w:type="dxa"/>
              <w:right w:w="0" w:type="dxa"/>
            </w:tcMar>
          </w:tcPr>
          <w:p w14:paraId="47C00994" w14:textId="13B43757" w:rsidR="00B05C5E" w:rsidRPr="00B40761" w:rsidRDefault="00AC40AA" w:rsidP="00B05C5E">
            <w:pPr>
              <w:ind w:left="0"/>
              <w:jc w:val="center"/>
            </w:pPr>
            <w:r>
              <w:t>9</w:t>
            </w:r>
          </w:p>
        </w:tc>
        <w:tc>
          <w:tcPr>
            <w:tcW w:w="6390" w:type="dxa"/>
            <w:vAlign w:val="center"/>
          </w:tcPr>
          <w:p w14:paraId="2D3C3CCC" w14:textId="783B515C" w:rsidR="00B05C5E" w:rsidRPr="00EF4879" w:rsidRDefault="003C13D0" w:rsidP="00CE64CD">
            <w:pPr>
              <w:ind w:left="0"/>
            </w:pPr>
            <w:r>
              <w:t>Lynn University</w:t>
            </w:r>
            <w:r w:rsidR="009E7587">
              <w:t>: gavel passed to Schroeder:</w:t>
            </w:r>
            <w:r w:rsidR="0062266C">
              <w:t xml:space="preserve">  Accredit with one note on 1.1 (2 parts)</w:t>
            </w:r>
            <w:r w:rsidR="00D27EF4">
              <w:t xml:space="preserve"> </w:t>
            </w:r>
          </w:p>
        </w:tc>
        <w:tc>
          <w:tcPr>
            <w:tcW w:w="2533" w:type="dxa"/>
            <w:vAlign w:val="center"/>
          </w:tcPr>
          <w:p w14:paraId="2956DAA5" w14:textId="565A21C2" w:rsidR="00FA2070" w:rsidRDefault="003C13D0" w:rsidP="00FA2070">
            <w:pPr>
              <w:ind w:left="0"/>
            </w:pPr>
            <w:r>
              <w:t>Marker/Hafford</w:t>
            </w:r>
          </w:p>
        </w:tc>
      </w:tr>
      <w:bookmarkEnd w:id="0"/>
      <w:tr w:rsidR="0067387F" w:rsidRPr="00EF4879" w14:paraId="66A5C822" w14:textId="77777777" w:rsidTr="029525AA">
        <w:trPr>
          <w:cantSplit/>
          <w:trHeight w:val="432"/>
          <w:jc w:val="center"/>
        </w:trPr>
        <w:tc>
          <w:tcPr>
            <w:tcW w:w="447" w:type="dxa"/>
            <w:tcMar>
              <w:left w:w="0" w:type="dxa"/>
              <w:right w:w="0" w:type="dxa"/>
            </w:tcMar>
          </w:tcPr>
          <w:p w14:paraId="18C2B753" w14:textId="13745778" w:rsidR="0067387F" w:rsidRPr="00B40761" w:rsidRDefault="00AC40AA" w:rsidP="00B05C5E">
            <w:pPr>
              <w:ind w:left="0"/>
              <w:jc w:val="center"/>
            </w:pPr>
            <w:r>
              <w:t>10</w:t>
            </w:r>
          </w:p>
        </w:tc>
        <w:tc>
          <w:tcPr>
            <w:tcW w:w="6390" w:type="dxa"/>
            <w:vAlign w:val="center"/>
          </w:tcPr>
          <w:p w14:paraId="00FFACA5" w14:textId="6F237F69" w:rsidR="0067387F" w:rsidRDefault="003C13D0" w:rsidP="00CE64CD">
            <w:pPr>
              <w:ind w:left="0"/>
              <w:rPr>
                <w:rFonts w:ascii="Calibri" w:eastAsia="Times New Roman" w:hAnsi="Calibri" w:cs="Calibri"/>
              </w:rPr>
            </w:pPr>
            <w:r>
              <w:rPr>
                <w:rFonts w:ascii="Calibri" w:eastAsia="Times New Roman" w:hAnsi="Calibri" w:cs="Calibri"/>
              </w:rPr>
              <w:t>National University</w:t>
            </w:r>
            <w:r w:rsidR="00704464">
              <w:rPr>
                <w:rFonts w:ascii="Calibri" w:eastAsia="Times New Roman" w:hAnsi="Calibri" w:cs="Calibri"/>
              </w:rPr>
              <w:t xml:space="preserve">:   </w:t>
            </w:r>
            <w:r w:rsidR="009E7587">
              <w:rPr>
                <w:rFonts w:ascii="Calibri" w:eastAsia="Times New Roman" w:hAnsi="Calibri" w:cs="Calibri"/>
              </w:rPr>
              <w:t xml:space="preserve">gavel to Schroeder: </w:t>
            </w:r>
            <w:r w:rsidR="00EC0B6C">
              <w:rPr>
                <w:rFonts w:ascii="Calibri" w:eastAsia="Times New Roman" w:hAnsi="Calibri" w:cs="Calibri"/>
              </w:rPr>
              <w:t xml:space="preserve">Accredit </w:t>
            </w:r>
            <w:r w:rsidR="009E7587">
              <w:rPr>
                <w:rFonts w:ascii="Calibri" w:eastAsia="Times New Roman" w:hAnsi="Calibri" w:cs="Calibri"/>
              </w:rPr>
              <w:t xml:space="preserve">with </w:t>
            </w:r>
            <w:r w:rsidR="00EC0B6C">
              <w:rPr>
                <w:rFonts w:ascii="Calibri" w:eastAsia="Times New Roman" w:hAnsi="Calibri" w:cs="Calibri"/>
              </w:rPr>
              <w:t>Note</w:t>
            </w:r>
            <w:r w:rsidR="00704464">
              <w:rPr>
                <w:rFonts w:ascii="Calibri" w:eastAsia="Times New Roman" w:hAnsi="Calibri" w:cs="Calibri"/>
              </w:rPr>
              <w:t xml:space="preserve"> 1.1, </w:t>
            </w:r>
            <w:r w:rsidR="009E7587">
              <w:rPr>
                <w:rFonts w:ascii="Calibri" w:eastAsia="Times New Roman" w:hAnsi="Calibri" w:cs="Calibri"/>
              </w:rPr>
              <w:t>(</w:t>
            </w:r>
            <w:r w:rsidR="00704464">
              <w:rPr>
                <w:rFonts w:ascii="Calibri" w:eastAsia="Times New Roman" w:hAnsi="Calibri" w:cs="Calibri"/>
              </w:rPr>
              <w:t>include column 3 examples as part of letter under the general note in column 4.</w:t>
            </w:r>
            <w:r w:rsidR="009E7587">
              <w:rPr>
                <w:rFonts w:ascii="Calibri" w:eastAsia="Times New Roman" w:hAnsi="Calibri" w:cs="Calibri"/>
              </w:rPr>
              <w:t>)</w:t>
            </w:r>
          </w:p>
        </w:tc>
        <w:tc>
          <w:tcPr>
            <w:tcW w:w="2533" w:type="dxa"/>
            <w:vAlign w:val="center"/>
          </w:tcPr>
          <w:p w14:paraId="6B8EF6FA" w14:textId="6D6C1B80" w:rsidR="0067387F" w:rsidRDefault="007031A5" w:rsidP="00B05C5E">
            <w:pPr>
              <w:ind w:left="0"/>
            </w:pPr>
            <w:r>
              <w:t>Yates/Hatton</w:t>
            </w:r>
          </w:p>
        </w:tc>
      </w:tr>
      <w:tr w:rsidR="00B05C5E" w:rsidRPr="00EF4879" w14:paraId="24B7D874" w14:textId="77777777" w:rsidTr="029525AA">
        <w:trPr>
          <w:cantSplit/>
          <w:trHeight w:val="432"/>
          <w:jc w:val="center"/>
        </w:trPr>
        <w:tc>
          <w:tcPr>
            <w:tcW w:w="447" w:type="dxa"/>
            <w:tcMar>
              <w:left w:w="0" w:type="dxa"/>
              <w:right w:w="0" w:type="dxa"/>
            </w:tcMar>
          </w:tcPr>
          <w:p w14:paraId="43B57320" w14:textId="78508856" w:rsidR="00B05C5E" w:rsidRPr="00B40761" w:rsidRDefault="00B05C5E" w:rsidP="00B05C5E">
            <w:pPr>
              <w:ind w:left="0"/>
              <w:jc w:val="center"/>
            </w:pPr>
            <w:r w:rsidRPr="00B40761">
              <w:t>1</w:t>
            </w:r>
            <w:r w:rsidR="00AC40AA">
              <w:t>1</w:t>
            </w:r>
          </w:p>
        </w:tc>
        <w:tc>
          <w:tcPr>
            <w:tcW w:w="6390" w:type="dxa"/>
            <w:vAlign w:val="center"/>
          </w:tcPr>
          <w:p w14:paraId="230E6306" w14:textId="3D0D0A63" w:rsidR="00B05C5E" w:rsidRPr="00EF4879" w:rsidRDefault="007031A5" w:rsidP="00CE64CD">
            <w:pPr>
              <w:ind w:left="0"/>
            </w:pPr>
            <w:r>
              <w:t>Oakland City University</w:t>
            </w:r>
            <w:r w:rsidR="00EC0B6C">
              <w:t xml:space="preserve">: gavel to Schroeder: Accredit with </w:t>
            </w:r>
            <w:r w:rsidR="00F074A1">
              <w:t xml:space="preserve">3 </w:t>
            </w:r>
            <w:r w:rsidR="00EC0B6C">
              <w:t>observation</w:t>
            </w:r>
            <w:r w:rsidR="00F074A1">
              <w:t>s</w:t>
            </w:r>
            <w:r w:rsidR="00EC0B6C">
              <w:t xml:space="preserve"> 1.1, 2.1,</w:t>
            </w:r>
            <w:r w:rsidR="009E711F">
              <w:t xml:space="preserve"> 4.3</w:t>
            </w:r>
            <w:r w:rsidR="00F074A1">
              <w:t xml:space="preserve"> </w:t>
            </w:r>
          </w:p>
        </w:tc>
        <w:tc>
          <w:tcPr>
            <w:tcW w:w="2533" w:type="dxa"/>
            <w:vAlign w:val="center"/>
          </w:tcPr>
          <w:p w14:paraId="7B5C7315" w14:textId="1DB41E4E" w:rsidR="00FA2070" w:rsidRPr="00EF4879" w:rsidRDefault="007031A5" w:rsidP="00B05C5E">
            <w:pPr>
              <w:ind w:left="0"/>
            </w:pPr>
            <w:r>
              <w:t>Hafford/Hatton</w:t>
            </w:r>
          </w:p>
        </w:tc>
      </w:tr>
      <w:tr w:rsidR="00B05C5E" w:rsidRPr="00EF4879" w14:paraId="154E6304" w14:textId="77777777" w:rsidTr="029525AA">
        <w:trPr>
          <w:cantSplit/>
          <w:trHeight w:val="432"/>
          <w:jc w:val="center"/>
        </w:trPr>
        <w:tc>
          <w:tcPr>
            <w:tcW w:w="447" w:type="dxa"/>
            <w:tcMar>
              <w:left w:w="0" w:type="dxa"/>
              <w:right w:w="0" w:type="dxa"/>
            </w:tcMar>
          </w:tcPr>
          <w:p w14:paraId="3BF79C4E" w14:textId="2F16835F" w:rsidR="00B05C5E" w:rsidRPr="00B40761" w:rsidRDefault="00B05C5E" w:rsidP="00B05C5E">
            <w:pPr>
              <w:ind w:left="0"/>
              <w:jc w:val="center"/>
            </w:pPr>
            <w:r w:rsidRPr="00B40761">
              <w:t>1</w:t>
            </w:r>
            <w:r w:rsidR="00AC40AA">
              <w:t>2</w:t>
            </w:r>
          </w:p>
        </w:tc>
        <w:tc>
          <w:tcPr>
            <w:tcW w:w="6390" w:type="dxa"/>
            <w:vAlign w:val="center"/>
          </w:tcPr>
          <w:p w14:paraId="25341EB9" w14:textId="4B82EEDC" w:rsidR="00B05C5E" w:rsidRPr="00411CBE" w:rsidRDefault="007031A5" w:rsidP="00CE64CD">
            <w:pPr>
              <w:ind w:left="0"/>
              <w:rPr>
                <w:bCs/>
              </w:rPr>
            </w:pPr>
            <w:r>
              <w:rPr>
                <w:bCs/>
              </w:rPr>
              <w:t>Pacific Union College</w:t>
            </w:r>
            <w:r w:rsidR="00F074A1">
              <w:rPr>
                <w:bCs/>
              </w:rPr>
              <w:t xml:space="preserve">: </w:t>
            </w:r>
            <w:r w:rsidR="000C61D6">
              <w:rPr>
                <w:bCs/>
              </w:rPr>
              <w:t>gavel to Yates. BOC asks for staff to talk to visitors to see if there were issues they had with the form, etc. and discuss how no action findings</w:t>
            </w:r>
            <w:r w:rsidR="009E7587">
              <w:rPr>
                <w:bCs/>
              </w:rPr>
              <w:t xml:space="preserve"> listed</w:t>
            </w:r>
            <w:r w:rsidR="000C61D6">
              <w:rPr>
                <w:bCs/>
              </w:rPr>
              <w:t xml:space="preserve"> but all listed in general comments</w:t>
            </w:r>
            <w:r w:rsidR="00C452A7">
              <w:rPr>
                <w:bCs/>
              </w:rPr>
              <w:t xml:space="preserve">. </w:t>
            </w:r>
            <w:r w:rsidR="00712B45">
              <w:rPr>
                <w:bCs/>
              </w:rPr>
              <w:t xml:space="preserve">Accredit with </w:t>
            </w:r>
            <w:r w:rsidR="00C452A7">
              <w:rPr>
                <w:bCs/>
              </w:rPr>
              <w:t>Note on 1.1</w:t>
            </w:r>
            <w:r w:rsidR="00B926A7">
              <w:rPr>
                <w:bCs/>
              </w:rPr>
              <w:t xml:space="preserve">, </w:t>
            </w:r>
            <w:r w:rsidR="005F00C7">
              <w:rPr>
                <w:bCs/>
              </w:rPr>
              <w:t>4.2 observation on 1.1</w:t>
            </w:r>
            <w:r w:rsidR="00712B45">
              <w:rPr>
                <w:bCs/>
              </w:rPr>
              <w:t>,</w:t>
            </w:r>
            <w:r w:rsidR="005F00C7">
              <w:rPr>
                <w:bCs/>
              </w:rPr>
              <w:t xml:space="preserve"> 7.4</w:t>
            </w:r>
          </w:p>
        </w:tc>
        <w:tc>
          <w:tcPr>
            <w:tcW w:w="2533" w:type="dxa"/>
            <w:vAlign w:val="center"/>
          </w:tcPr>
          <w:p w14:paraId="104DD76E" w14:textId="4CDE359A" w:rsidR="00FA2070" w:rsidRPr="00EF4879" w:rsidRDefault="007031A5" w:rsidP="00B05C5E">
            <w:pPr>
              <w:ind w:left="0"/>
            </w:pPr>
            <w:r>
              <w:t>Schroeder/Hafford</w:t>
            </w:r>
          </w:p>
        </w:tc>
      </w:tr>
      <w:tr w:rsidR="008960BF" w:rsidRPr="00EF4879" w14:paraId="550F5939" w14:textId="77777777" w:rsidTr="029525AA">
        <w:trPr>
          <w:cantSplit/>
          <w:trHeight w:val="432"/>
          <w:jc w:val="center"/>
        </w:trPr>
        <w:tc>
          <w:tcPr>
            <w:tcW w:w="447" w:type="dxa"/>
            <w:tcMar>
              <w:left w:w="0" w:type="dxa"/>
              <w:right w:w="0" w:type="dxa"/>
            </w:tcMar>
          </w:tcPr>
          <w:p w14:paraId="52E6E104" w14:textId="4C0F5916" w:rsidR="008960BF" w:rsidRPr="00B40761" w:rsidRDefault="00B93BBF" w:rsidP="00B05C5E">
            <w:pPr>
              <w:ind w:left="0"/>
              <w:jc w:val="center"/>
            </w:pPr>
            <w:r>
              <w:t>1</w:t>
            </w:r>
            <w:r w:rsidR="00AC40AA">
              <w:t>3</w:t>
            </w:r>
          </w:p>
        </w:tc>
        <w:tc>
          <w:tcPr>
            <w:tcW w:w="6390" w:type="dxa"/>
            <w:vAlign w:val="center"/>
          </w:tcPr>
          <w:p w14:paraId="7E53342F" w14:textId="02F490E6" w:rsidR="008960BF" w:rsidRDefault="007031A5" w:rsidP="00CE64CD">
            <w:pPr>
              <w:ind w:left="0"/>
              <w:rPr>
                <w:rFonts w:ascii="Calibri" w:eastAsia="Times New Roman" w:hAnsi="Calibri" w:cs="Calibri"/>
              </w:rPr>
            </w:pPr>
            <w:r>
              <w:rPr>
                <w:rFonts w:ascii="Calibri" w:eastAsia="Times New Roman" w:hAnsi="Calibri" w:cs="Calibri"/>
              </w:rPr>
              <w:t>Salve Regina University</w:t>
            </w:r>
            <w:r w:rsidR="009E7587">
              <w:rPr>
                <w:rFonts w:ascii="Calibri" w:eastAsia="Times New Roman" w:hAnsi="Calibri" w:cs="Calibri"/>
              </w:rPr>
              <w:t xml:space="preserve">: gavel to Hafford: </w:t>
            </w:r>
            <w:r w:rsidR="00712B45">
              <w:rPr>
                <w:rFonts w:ascii="Calibri" w:eastAsia="Times New Roman" w:hAnsi="Calibri" w:cs="Calibri"/>
              </w:rPr>
              <w:t xml:space="preserve">  Note on 2.2 (old 1.1), Observation</w:t>
            </w:r>
            <w:r w:rsidR="009E7587">
              <w:rPr>
                <w:rFonts w:ascii="Calibri" w:eastAsia="Times New Roman" w:hAnsi="Calibri" w:cs="Calibri"/>
              </w:rPr>
              <w:t xml:space="preserve"> on </w:t>
            </w:r>
            <w:r w:rsidR="00712B45">
              <w:rPr>
                <w:rFonts w:ascii="Calibri" w:eastAsia="Times New Roman" w:hAnsi="Calibri" w:cs="Calibri"/>
              </w:rPr>
              <w:t>3.1 (Old 2.1)</w:t>
            </w:r>
            <w:r w:rsidR="006A4F8B">
              <w:rPr>
                <w:rFonts w:ascii="Calibri" w:eastAsia="Times New Roman" w:hAnsi="Calibri" w:cs="Calibri"/>
              </w:rPr>
              <w:t>, 4.1 (old 3.1)</w:t>
            </w:r>
          </w:p>
        </w:tc>
        <w:tc>
          <w:tcPr>
            <w:tcW w:w="2533" w:type="dxa"/>
            <w:vAlign w:val="center"/>
          </w:tcPr>
          <w:p w14:paraId="5905F831" w14:textId="408A2DDA" w:rsidR="008960BF" w:rsidRDefault="007031A5" w:rsidP="00B05C5E">
            <w:pPr>
              <w:ind w:left="0"/>
            </w:pPr>
            <w:r>
              <w:t>Hatton/Mosely-</w:t>
            </w:r>
            <w:proofErr w:type="spellStart"/>
            <w:r>
              <w:t>Matchett</w:t>
            </w:r>
            <w:proofErr w:type="spellEnd"/>
          </w:p>
        </w:tc>
      </w:tr>
      <w:tr w:rsidR="008960BF" w:rsidRPr="00EF4879" w14:paraId="74857842" w14:textId="77777777" w:rsidTr="029525AA">
        <w:trPr>
          <w:cantSplit/>
          <w:trHeight w:val="432"/>
          <w:jc w:val="center"/>
        </w:trPr>
        <w:tc>
          <w:tcPr>
            <w:tcW w:w="447" w:type="dxa"/>
            <w:tcMar>
              <w:left w:w="0" w:type="dxa"/>
              <w:right w:w="0" w:type="dxa"/>
            </w:tcMar>
          </w:tcPr>
          <w:p w14:paraId="14738470" w14:textId="47980294" w:rsidR="008960BF" w:rsidRPr="00B40761" w:rsidRDefault="00B93BBF" w:rsidP="00B05C5E">
            <w:pPr>
              <w:ind w:left="0"/>
              <w:jc w:val="center"/>
            </w:pPr>
            <w:r>
              <w:t>1</w:t>
            </w:r>
            <w:r w:rsidR="00AC40AA">
              <w:t>4</w:t>
            </w:r>
          </w:p>
        </w:tc>
        <w:tc>
          <w:tcPr>
            <w:tcW w:w="6390" w:type="dxa"/>
            <w:vAlign w:val="center"/>
          </w:tcPr>
          <w:p w14:paraId="7CF1E600" w14:textId="68E1DC20" w:rsidR="00E74FAC" w:rsidRDefault="007031A5" w:rsidP="00CE64CD">
            <w:pPr>
              <w:ind w:left="0"/>
              <w:rPr>
                <w:rFonts w:ascii="Calibri" w:eastAsia="Times New Roman" w:hAnsi="Calibri" w:cs="Calibri"/>
              </w:rPr>
            </w:pPr>
            <w:r>
              <w:rPr>
                <w:rFonts w:ascii="Calibri" w:eastAsia="Times New Roman" w:hAnsi="Calibri" w:cs="Calibri"/>
              </w:rPr>
              <w:t>Swiss School of Management</w:t>
            </w:r>
            <w:r w:rsidR="00F13135">
              <w:rPr>
                <w:rFonts w:ascii="Calibri" w:eastAsia="Times New Roman" w:hAnsi="Calibri" w:cs="Calibri"/>
              </w:rPr>
              <w:t xml:space="preserve"> Defer with:</w:t>
            </w:r>
            <w:r w:rsidR="00204015">
              <w:rPr>
                <w:rFonts w:ascii="Calibri" w:eastAsia="Times New Roman" w:hAnsi="Calibri" w:cs="Calibri"/>
              </w:rPr>
              <w:t xml:space="preserve"> </w:t>
            </w:r>
            <w:r w:rsidR="009E7587">
              <w:rPr>
                <w:rFonts w:ascii="Calibri" w:eastAsia="Times New Roman" w:hAnsi="Calibri" w:cs="Calibri"/>
              </w:rPr>
              <w:t>“</w:t>
            </w:r>
            <w:r w:rsidR="00E74FAC">
              <w:rPr>
                <w:rFonts w:ascii="Calibri" w:eastAsia="Times New Roman" w:hAnsi="Calibri" w:cs="Calibri"/>
                <w:i/>
                <w:iCs/>
              </w:rPr>
              <w:t>comment</w:t>
            </w:r>
            <w:r w:rsidR="009E7587">
              <w:rPr>
                <w:rFonts w:ascii="Calibri" w:eastAsia="Times New Roman" w:hAnsi="Calibri" w:cs="Calibri"/>
                <w:i/>
                <w:iCs/>
              </w:rPr>
              <w:t>”</w:t>
            </w:r>
            <w:r w:rsidR="00204015">
              <w:rPr>
                <w:rFonts w:ascii="Calibri" w:eastAsia="Times New Roman" w:hAnsi="Calibri" w:cs="Calibri"/>
              </w:rPr>
              <w:t xml:space="preserve"> 4A</w:t>
            </w:r>
            <w:r w:rsidR="00021DC6">
              <w:rPr>
                <w:rFonts w:ascii="Calibri" w:eastAsia="Times New Roman" w:hAnsi="Calibri" w:cs="Calibri"/>
              </w:rPr>
              <w:t xml:space="preserve"> re: degree programs and locations, </w:t>
            </w:r>
            <w:r w:rsidR="00204015">
              <w:rPr>
                <w:rFonts w:ascii="Calibri" w:eastAsia="Times New Roman" w:hAnsi="Calibri" w:cs="Calibri"/>
              </w:rPr>
              <w:t xml:space="preserve"> and </w:t>
            </w:r>
            <w:r w:rsidR="00021DC6">
              <w:rPr>
                <w:rFonts w:ascii="Calibri" w:eastAsia="Times New Roman" w:hAnsi="Calibri" w:cs="Calibri"/>
              </w:rPr>
              <w:t xml:space="preserve">specific </w:t>
            </w:r>
            <w:r w:rsidR="00204015">
              <w:rPr>
                <w:rFonts w:ascii="Calibri" w:eastAsia="Times New Roman" w:hAnsi="Calibri" w:cs="Calibri"/>
              </w:rPr>
              <w:t>evidence that they can award degrees as SSM (vs. as dual degree with other schools),</w:t>
            </w:r>
            <w:r w:rsidR="00631936">
              <w:rPr>
                <w:rFonts w:ascii="Calibri" w:eastAsia="Times New Roman" w:hAnsi="Calibri" w:cs="Calibri"/>
              </w:rPr>
              <w:t xml:space="preserve"> copies of diplomas/transcripts for all degrees included</w:t>
            </w:r>
            <w:r w:rsidR="00E74FAC">
              <w:rPr>
                <w:rFonts w:ascii="Calibri" w:eastAsia="Times New Roman" w:hAnsi="Calibri" w:cs="Calibri"/>
              </w:rPr>
              <w:t xml:space="preserve"> N</w:t>
            </w:r>
            <w:r w:rsidR="00631936">
              <w:rPr>
                <w:rFonts w:ascii="Calibri" w:eastAsia="Times New Roman" w:hAnsi="Calibri" w:cs="Calibri"/>
              </w:rPr>
              <w:t>otes on</w:t>
            </w:r>
            <w:r w:rsidR="00204015">
              <w:rPr>
                <w:rFonts w:ascii="Calibri" w:eastAsia="Times New Roman" w:hAnsi="Calibri" w:cs="Calibri"/>
              </w:rPr>
              <w:t xml:space="preserve"> </w:t>
            </w:r>
            <w:r w:rsidR="00A87FCE">
              <w:rPr>
                <w:rFonts w:ascii="Calibri" w:eastAsia="Times New Roman" w:hAnsi="Calibri" w:cs="Calibri"/>
              </w:rPr>
              <w:t xml:space="preserve">1.1,  </w:t>
            </w:r>
            <w:r w:rsidR="00F13135">
              <w:rPr>
                <w:rFonts w:ascii="Calibri" w:eastAsia="Times New Roman" w:hAnsi="Calibri" w:cs="Calibri"/>
              </w:rPr>
              <w:t>4.1, Observation</w:t>
            </w:r>
            <w:r w:rsidR="00EB6031">
              <w:rPr>
                <w:rFonts w:ascii="Calibri" w:eastAsia="Times New Roman" w:hAnsi="Calibri" w:cs="Calibri"/>
              </w:rPr>
              <w:t>s on</w:t>
            </w:r>
            <w:r w:rsidR="00F13135">
              <w:rPr>
                <w:rFonts w:ascii="Calibri" w:eastAsia="Times New Roman" w:hAnsi="Calibri" w:cs="Calibri"/>
              </w:rPr>
              <w:t xml:space="preserve"> 1.1, 4.5</w:t>
            </w:r>
            <w:r w:rsidR="00E74FAC">
              <w:rPr>
                <w:rFonts w:ascii="Calibri" w:eastAsia="Times New Roman" w:hAnsi="Calibri" w:cs="Calibri"/>
              </w:rPr>
              <w:t>.</w:t>
            </w:r>
            <w:r w:rsidR="00F13135">
              <w:rPr>
                <w:rFonts w:ascii="Calibri" w:eastAsia="Times New Roman" w:hAnsi="Calibri" w:cs="Calibri"/>
              </w:rPr>
              <w:t xml:space="preserve"> Motion to table until </w:t>
            </w:r>
            <w:r w:rsidR="00E74FAC">
              <w:rPr>
                <w:rFonts w:ascii="Calibri" w:eastAsia="Times New Roman" w:hAnsi="Calibri" w:cs="Calibri"/>
              </w:rPr>
              <w:t>additional information is received later in meeting.</w:t>
            </w:r>
            <w:r w:rsidR="00EB6031">
              <w:rPr>
                <w:rFonts w:ascii="Calibri" w:eastAsia="Times New Roman" w:hAnsi="Calibri" w:cs="Calibri"/>
              </w:rPr>
              <w:t xml:space="preserve"> Second, passed.  </w:t>
            </w:r>
          </w:p>
          <w:p w14:paraId="2EAC781B" w14:textId="3647D638" w:rsidR="008960BF" w:rsidRDefault="00EB6031" w:rsidP="00CE64CD">
            <w:pPr>
              <w:ind w:left="0"/>
              <w:rPr>
                <w:rFonts w:ascii="Calibri" w:eastAsia="Times New Roman" w:hAnsi="Calibri" w:cs="Calibri"/>
              </w:rPr>
            </w:pPr>
            <w:r>
              <w:rPr>
                <w:rFonts w:ascii="Calibri" w:eastAsia="Times New Roman" w:hAnsi="Calibri" w:cs="Calibri"/>
              </w:rPr>
              <w:t>Later m</w:t>
            </w:r>
            <w:r w:rsidR="00631936">
              <w:rPr>
                <w:rFonts w:ascii="Calibri" w:eastAsia="Times New Roman" w:hAnsi="Calibri" w:cs="Calibri"/>
              </w:rPr>
              <w:t>otion to defer</w:t>
            </w:r>
            <w:r>
              <w:rPr>
                <w:rFonts w:ascii="Calibri" w:eastAsia="Times New Roman" w:hAnsi="Calibri" w:cs="Calibri"/>
              </w:rPr>
              <w:t xml:space="preserve"> with above notes/observations</w:t>
            </w:r>
            <w:r w:rsidR="00631936">
              <w:rPr>
                <w:rFonts w:ascii="Calibri" w:eastAsia="Times New Roman" w:hAnsi="Calibri" w:cs="Calibri"/>
              </w:rPr>
              <w:t>. Second. Passed</w:t>
            </w:r>
          </w:p>
        </w:tc>
        <w:tc>
          <w:tcPr>
            <w:tcW w:w="2533" w:type="dxa"/>
            <w:vAlign w:val="center"/>
          </w:tcPr>
          <w:p w14:paraId="29887F39" w14:textId="7DE73398" w:rsidR="008960BF" w:rsidRDefault="007031A5" w:rsidP="00B05C5E">
            <w:pPr>
              <w:ind w:left="0"/>
            </w:pPr>
            <w:r>
              <w:t>Kovacs/Schroeder</w:t>
            </w:r>
          </w:p>
        </w:tc>
      </w:tr>
      <w:tr w:rsidR="00B05C5E" w:rsidRPr="00EF4879" w14:paraId="1B285B60" w14:textId="77777777" w:rsidTr="029525AA">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025F8BD0" w14:textId="1372151B" w:rsidR="00B05C5E" w:rsidRPr="0046677C" w:rsidRDefault="00B93BBF" w:rsidP="00B05C5E">
            <w:pPr>
              <w:ind w:left="0"/>
              <w:jc w:val="center"/>
              <w:rPr>
                <w:b/>
                <w:bCs/>
              </w:rPr>
            </w:pPr>
            <w:r>
              <w:rPr>
                <w:b/>
                <w:bCs/>
              </w:rPr>
              <w:t>D</w:t>
            </w:r>
          </w:p>
        </w:tc>
        <w:tc>
          <w:tcPr>
            <w:tcW w:w="8923" w:type="dxa"/>
            <w:gridSpan w:val="2"/>
            <w:shd w:val="clear" w:color="auto" w:fill="DBE5F1" w:themeFill="accent1" w:themeFillTint="33"/>
            <w:tcMar>
              <w:top w:w="0" w:type="dxa"/>
              <w:bottom w:w="0" w:type="dxa"/>
            </w:tcMar>
            <w:vAlign w:val="center"/>
          </w:tcPr>
          <w:p w14:paraId="26836E3A" w14:textId="0D998236" w:rsidR="00B05C5E" w:rsidRPr="00EF4879" w:rsidRDefault="00B05C5E" w:rsidP="00B05C5E">
            <w:pPr>
              <w:ind w:left="0"/>
              <w:jc w:val="center"/>
              <w:rPr>
                <w:b/>
                <w:bCs/>
              </w:rPr>
            </w:pPr>
            <w:r w:rsidRPr="3F2FABD2">
              <w:rPr>
                <w:b/>
                <w:bCs/>
              </w:rPr>
              <w:t>ACCOUNTING ACCREDITATION REVIEWS</w:t>
            </w:r>
          </w:p>
        </w:tc>
      </w:tr>
      <w:tr w:rsidR="00B05C5E" w14:paraId="7DA4DE3F" w14:textId="77777777" w:rsidTr="029525AA">
        <w:trPr>
          <w:cantSplit/>
          <w:trHeight w:val="288"/>
          <w:jc w:val="center"/>
        </w:trPr>
        <w:tc>
          <w:tcPr>
            <w:tcW w:w="447" w:type="dxa"/>
            <w:tcMar>
              <w:left w:w="0" w:type="dxa"/>
              <w:right w:w="0" w:type="dxa"/>
            </w:tcMar>
            <w:vAlign w:val="center"/>
          </w:tcPr>
          <w:p w14:paraId="7646341C" w14:textId="18EEBB25" w:rsidR="00B05C5E" w:rsidRDefault="00AC40AA" w:rsidP="00B05C5E">
            <w:pPr>
              <w:ind w:left="0"/>
              <w:jc w:val="center"/>
            </w:pPr>
            <w:r>
              <w:t>15</w:t>
            </w:r>
          </w:p>
        </w:tc>
        <w:tc>
          <w:tcPr>
            <w:tcW w:w="6390" w:type="dxa"/>
            <w:vAlign w:val="center"/>
          </w:tcPr>
          <w:p w14:paraId="7E4A05E3" w14:textId="5DE74EF1" w:rsidR="00B05C5E" w:rsidRDefault="00B05C5E" w:rsidP="00B05C5E">
            <w:pPr>
              <w:ind w:left="0"/>
              <w:rPr>
                <w:bCs/>
              </w:rPr>
            </w:pPr>
            <w:r>
              <w:rPr>
                <w:bCs/>
              </w:rPr>
              <w:t>None</w:t>
            </w:r>
          </w:p>
        </w:tc>
        <w:tc>
          <w:tcPr>
            <w:tcW w:w="2533" w:type="dxa"/>
            <w:vAlign w:val="center"/>
          </w:tcPr>
          <w:p w14:paraId="78D0CF12" w14:textId="2EC4B5F4" w:rsidR="00B05C5E" w:rsidRDefault="00B05C5E" w:rsidP="00B05C5E">
            <w:pPr>
              <w:ind w:left="0"/>
              <w:rPr>
                <w:bCs/>
              </w:rPr>
            </w:pPr>
          </w:p>
        </w:tc>
      </w:tr>
      <w:tr w:rsidR="00B05C5E" w:rsidRPr="00EF4879" w14:paraId="5372C588" w14:textId="77777777" w:rsidTr="029525AA">
        <w:trPr>
          <w:cantSplit/>
          <w:trHeight w:val="432"/>
          <w:jc w:val="center"/>
        </w:trPr>
        <w:tc>
          <w:tcPr>
            <w:tcW w:w="447" w:type="dxa"/>
            <w:shd w:val="clear" w:color="auto" w:fill="DBE5F1" w:themeFill="accent1" w:themeFillTint="33"/>
            <w:tcMar>
              <w:top w:w="0" w:type="dxa"/>
              <w:bottom w:w="0" w:type="dxa"/>
            </w:tcMar>
            <w:vAlign w:val="center"/>
          </w:tcPr>
          <w:p w14:paraId="7F05D00B" w14:textId="14477174" w:rsidR="00B05C5E" w:rsidRDefault="00B93BBF" w:rsidP="00B05C5E">
            <w:pPr>
              <w:ind w:left="0"/>
              <w:jc w:val="center"/>
              <w:rPr>
                <w:b/>
                <w:bCs/>
              </w:rPr>
            </w:pPr>
            <w:r>
              <w:rPr>
                <w:b/>
                <w:bCs/>
              </w:rPr>
              <w:t>E</w:t>
            </w:r>
          </w:p>
        </w:tc>
        <w:tc>
          <w:tcPr>
            <w:tcW w:w="8923" w:type="dxa"/>
            <w:gridSpan w:val="2"/>
            <w:shd w:val="clear" w:color="auto" w:fill="DBE5F1" w:themeFill="accent1" w:themeFillTint="33"/>
            <w:tcMar>
              <w:top w:w="0" w:type="dxa"/>
              <w:bottom w:w="0" w:type="dxa"/>
            </w:tcMar>
            <w:vAlign w:val="center"/>
          </w:tcPr>
          <w:p w14:paraId="1D0B3EBE" w14:textId="6C4A8EEB" w:rsidR="00B05C5E" w:rsidRPr="00EF4879" w:rsidRDefault="004B181E" w:rsidP="00B05C5E">
            <w:pPr>
              <w:ind w:left="0"/>
              <w:jc w:val="center"/>
              <w:rPr>
                <w:b/>
                <w:bCs/>
              </w:rPr>
            </w:pPr>
            <w:r>
              <w:rPr>
                <w:b/>
                <w:bCs/>
              </w:rPr>
              <w:t>NEW LOCATIONS</w:t>
            </w:r>
          </w:p>
        </w:tc>
      </w:tr>
      <w:tr w:rsidR="004B181E" w:rsidRPr="00EF4879" w14:paraId="3367865B" w14:textId="77777777" w:rsidTr="029525AA">
        <w:trPr>
          <w:cantSplit/>
          <w:trHeight w:val="432"/>
          <w:jc w:val="center"/>
        </w:trPr>
        <w:tc>
          <w:tcPr>
            <w:tcW w:w="447" w:type="dxa"/>
            <w:shd w:val="clear" w:color="auto" w:fill="auto"/>
            <w:tcMar>
              <w:top w:w="0" w:type="dxa"/>
              <w:bottom w:w="0" w:type="dxa"/>
            </w:tcMar>
            <w:vAlign w:val="center"/>
          </w:tcPr>
          <w:p w14:paraId="3181BBBB" w14:textId="3168EFC3" w:rsidR="004B181E" w:rsidRPr="00AC40AA" w:rsidRDefault="00AC40AA" w:rsidP="00AC40AA">
            <w:pPr>
              <w:tabs>
                <w:tab w:val="left" w:pos="330"/>
              </w:tabs>
              <w:ind w:left="0" w:right="-110"/>
            </w:pPr>
            <w:r>
              <w:t xml:space="preserve">16 </w:t>
            </w:r>
          </w:p>
        </w:tc>
        <w:tc>
          <w:tcPr>
            <w:tcW w:w="8923" w:type="dxa"/>
            <w:gridSpan w:val="2"/>
            <w:shd w:val="clear" w:color="auto" w:fill="auto"/>
            <w:tcMar>
              <w:top w:w="0" w:type="dxa"/>
              <w:bottom w:w="0" w:type="dxa"/>
            </w:tcMar>
            <w:vAlign w:val="center"/>
          </w:tcPr>
          <w:p w14:paraId="590BC3E8" w14:textId="34A2EA55" w:rsidR="004B181E" w:rsidRPr="004B181E" w:rsidRDefault="004B181E" w:rsidP="004B181E">
            <w:pPr>
              <w:ind w:left="0"/>
            </w:pPr>
            <w:r>
              <w:t>None</w:t>
            </w:r>
          </w:p>
        </w:tc>
      </w:tr>
      <w:tr w:rsidR="004B181E" w:rsidRPr="00EF4879" w14:paraId="36603339" w14:textId="77777777" w:rsidTr="029525AA">
        <w:trPr>
          <w:cantSplit/>
          <w:trHeight w:val="432"/>
          <w:jc w:val="center"/>
        </w:trPr>
        <w:tc>
          <w:tcPr>
            <w:tcW w:w="447" w:type="dxa"/>
            <w:shd w:val="clear" w:color="auto" w:fill="DBE5F1" w:themeFill="accent1" w:themeFillTint="33"/>
            <w:tcMar>
              <w:top w:w="0" w:type="dxa"/>
              <w:bottom w:w="0" w:type="dxa"/>
            </w:tcMar>
            <w:vAlign w:val="center"/>
          </w:tcPr>
          <w:p w14:paraId="1FC8954B" w14:textId="017C019F" w:rsidR="004B181E" w:rsidRDefault="004B181E" w:rsidP="00B05C5E">
            <w:pPr>
              <w:ind w:left="0"/>
              <w:jc w:val="center"/>
              <w:rPr>
                <w:b/>
                <w:bCs/>
              </w:rPr>
            </w:pPr>
            <w:r>
              <w:rPr>
                <w:b/>
                <w:bCs/>
              </w:rPr>
              <w:t>F</w:t>
            </w:r>
          </w:p>
        </w:tc>
        <w:tc>
          <w:tcPr>
            <w:tcW w:w="8923" w:type="dxa"/>
            <w:gridSpan w:val="2"/>
            <w:shd w:val="clear" w:color="auto" w:fill="DBE5F1" w:themeFill="accent1" w:themeFillTint="33"/>
            <w:tcMar>
              <w:top w:w="0" w:type="dxa"/>
              <w:bottom w:w="0" w:type="dxa"/>
            </w:tcMar>
            <w:vAlign w:val="center"/>
          </w:tcPr>
          <w:p w14:paraId="6D14146B" w14:textId="1DA8896B" w:rsidR="004B181E" w:rsidRPr="3F2FABD2" w:rsidRDefault="004B181E" w:rsidP="00B05C5E">
            <w:pPr>
              <w:ind w:left="0"/>
              <w:jc w:val="center"/>
              <w:rPr>
                <w:b/>
                <w:bCs/>
              </w:rPr>
            </w:pPr>
            <w:r>
              <w:rPr>
                <w:b/>
                <w:bCs/>
              </w:rPr>
              <w:t>CANDIDACY REVIEWS</w:t>
            </w:r>
          </w:p>
        </w:tc>
      </w:tr>
      <w:tr w:rsidR="00B05C5E" w:rsidRPr="00EF4879" w14:paraId="0A6218CC" w14:textId="77777777" w:rsidTr="029525AA">
        <w:trPr>
          <w:cantSplit/>
          <w:trHeight w:val="288"/>
          <w:jc w:val="center"/>
        </w:trPr>
        <w:tc>
          <w:tcPr>
            <w:tcW w:w="447" w:type="dxa"/>
            <w:tcMar>
              <w:left w:w="0" w:type="dxa"/>
              <w:right w:w="0" w:type="dxa"/>
            </w:tcMar>
            <w:vAlign w:val="center"/>
          </w:tcPr>
          <w:p w14:paraId="7510C952" w14:textId="3C559AB2" w:rsidR="00B05C5E" w:rsidRPr="008960BF" w:rsidRDefault="00AC40AA" w:rsidP="00AC40AA">
            <w:pPr>
              <w:ind w:left="0"/>
              <w:jc w:val="center"/>
              <w:rPr>
                <w:highlight w:val="yellow"/>
              </w:rPr>
            </w:pPr>
            <w:r w:rsidRPr="00AC40AA">
              <w:t>17</w:t>
            </w:r>
          </w:p>
        </w:tc>
        <w:tc>
          <w:tcPr>
            <w:tcW w:w="6390" w:type="dxa"/>
            <w:vAlign w:val="center"/>
          </w:tcPr>
          <w:p w14:paraId="2008439B" w14:textId="71FA52D2" w:rsidR="00B05C5E" w:rsidRDefault="003C13D0" w:rsidP="00B05C5E">
            <w:pPr>
              <w:ind w:left="0"/>
              <w:rPr>
                <w:bCs/>
              </w:rPr>
            </w:pPr>
            <w:r>
              <w:rPr>
                <w:rFonts w:ascii="Calibri" w:eastAsia="Times New Roman" w:hAnsi="Calibri" w:cs="Calibri"/>
              </w:rPr>
              <w:t>Dean College</w:t>
            </w:r>
            <w:r w:rsidR="00F83784">
              <w:rPr>
                <w:rFonts w:ascii="Calibri" w:eastAsia="Times New Roman" w:hAnsi="Calibri" w:cs="Calibri"/>
              </w:rPr>
              <w:t xml:space="preserve">  </w:t>
            </w:r>
            <w:r w:rsidR="00EB6031">
              <w:rPr>
                <w:rFonts w:ascii="Calibri" w:eastAsia="Times New Roman" w:hAnsi="Calibri" w:cs="Calibri"/>
              </w:rPr>
              <w:t>Motion to grant</w:t>
            </w:r>
            <w:r w:rsidR="00F83784">
              <w:rPr>
                <w:rFonts w:ascii="Calibri" w:eastAsia="Times New Roman" w:hAnsi="Calibri" w:cs="Calibri"/>
              </w:rPr>
              <w:t xml:space="preserve"> candidac</w:t>
            </w:r>
            <w:r w:rsidR="00021DC6">
              <w:rPr>
                <w:rFonts w:ascii="Calibri" w:eastAsia="Times New Roman" w:hAnsi="Calibri" w:cs="Calibri"/>
              </w:rPr>
              <w:t>y with observations noted</w:t>
            </w:r>
          </w:p>
        </w:tc>
        <w:tc>
          <w:tcPr>
            <w:tcW w:w="2533" w:type="dxa"/>
            <w:vAlign w:val="center"/>
          </w:tcPr>
          <w:p w14:paraId="78164BAD" w14:textId="1A27C181" w:rsidR="00B05C5E" w:rsidRDefault="003C13D0" w:rsidP="00B05C5E">
            <w:pPr>
              <w:ind w:left="0"/>
            </w:pPr>
            <w:r>
              <w:t>Yates</w:t>
            </w:r>
          </w:p>
        </w:tc>
      </w:tr>
      <w:tr w:rsidR="003C13D0" w:rsidRPr="00EF4879" w14:paraId="093A46FF" w14:textId="77777777" w:rsidTr="029525AA">
        <w:trPr>
          <w:cantSplit/>
          <w:trHeight w:val="288"/>
          <w:jc w:val="center"/>
        </w:trPr>
        <w:tc>
          <w:tcPr>
            <w:tcW w:w="447" w:type="dxa"/>
            <w:tcMar>
              <w:left w:w="0" w:type="dxa"/>
              <w:right w:w="0" w:type="dxa"/>
            </w:tcMar>
            <w:vAlign w:val="center"/>
          </w:tcPr>
          <w:p w14:paraId="3D01B2C2" w14:textId="4EBD993B" w:rsidR="003C13D0" w:rsidRPr="008960BF" w:rsidRDefault="00AC40AA" w:rsidP="00B05C5E">
            <w:pPr>
              <w:ind w:left="0"/>
              <w:jc w:val="center"/>
            </w:pPr>
            <w:r>
              <w:t>18</w:t>
            </w:r>
          </w:p>
        </w:tc>
        <w:tc>
          <w:tcPr>
            <w:tcW w:w="6390" w:type="dxa"/>
            <w:vAlign w:val="center"/>
          </w:tcPr>
          <w:p w14:paraId="0533A2FB" w14:textId="3564BE74" w:rsidR="003C13D0" w:rsidRPr="00146005" w:rsidRDefault="00E74FAC" w:rsidP="00B05C5E">
            <w:pPr>
              <w:ind w:left="0"/>
              <w:rPr>
                <w:rFonts w:ascii="Calibri" w:eastAsia="Times New Roman" w:hAnsi="Calibri" w:cs="Calibri"/>
                <w:i/>
                <w:iCs/>
              </w:rPr>
            </w:pPr>
            <w:r>
              <w:rPr>
                <w:rFonts w:ascii="Calibri" w:eastAsia="Times New Roman" w:hAnsi="Calibri" w:cs="Calibri"/>
                <w:i/>
                <w:iCs/>
              </w:rPr>
              <w:t xml:space="preserve">Discussion: </w:t>
            </w:r>
            <w:r w:rsidR="00F13135">
              <w:rPr>
                <w:rFonts w:ascii="Calibri" w:eastAsia="Times New Roman" w:hAnsi="Calibri" w:cs="Calibri"/>
                <w:i/>
                <w:iCs/>
              </w:rPr>
              <w:t>BOC want</w:t>
            </w:r>
            <w:r>
              <w:rPr>
                <w:rFonts w:ascii="Calibri" w:eastAsia="Times New Roman" w:hAnsi="Calibri" w:cs="Calibri"/>
                <w:i/>
                <w:iCs/>
              </w:rPr>
              <w:t>s</w:t>
            </w:r>
            <w:r w:rsidR="00F13135">
              <w:rPr>
                <w:rFonts w:ascii="Calibri" w:eastAsia="Times New Roman" w:hAnsi="Calibri" w:cs="Calibri"/>
                <w:i/>
                <w:iCs/>
              </w:rPr>
              <w:t xml:space="preserve"> candidacy application form to include #faculty and students</w:t>
            </w:r>
            <w:r w:rsidR="00021DC6">
              <w:rPr>
                <w:rFonts w:ascii="Calibri" w:eastAsia="Times New Roman" w:hAnsi="Calibri" w:cs="Calibri"/>
                <w:i/>
                <w:iCs/>
              </w:rPr>
              <w:t xml:space="preserve"> in the future</w:t>
            </w:r>
          </w:p>
        </w:tc>
        <w:tc>
          <w:tcPr>
            <w:tcW w:w="2533" w:type="dxa"/>
            <w:vAlign w:val="center"/>
          </w:tcPr>
          <w:p w14:paraId="29003D3E" w14:textId="73CE5F29" w:rsidR="003C13D0" w:rsidRDefault="003C13D0" w:rsidP="00B05C5E">
            <w:pPr>
              <w:ind w:left="0"/>
            </w:pPr>
          </w:p>
        </w:tc>
      </w:tr>
      <w:tr w:rsidR="003C13D0" w:rsidRPr="00EF4879" w14:paraId="690D11A6" w14:textId="77777777" w:rsidTr="029525AA">
        <w:trPr>
          <w:cantSplit/>
          <w:trHeight w:val="288"/>
          <w:jc w:val="center"/>
        </w:trPr>
        <w:tc>
          <w:tcPr>
            <w:tcW w:w="447" w:type="dxa"/>
            <w:tcMar>
              <w:left w:w="0" w:type="dxa"/>
              <w:right w:w="0" w:type="dxa"/>
            </w:tcMar>
            <w:vAlign w:val="center"/>
          </w:tcPr>
          <w:p w14:paraId="12A84C2B" w14:textId="216C366F" w:rsidR="003C13D0" w:rsidRPr="008960BF" w:rsidRDefault="00AC40AA" w:rsidP="00B05C5E">
            <w:pPr>
              <w:ind w:left="0"/>
              <w:jc w:val="center"/>
            </w:pPr>
            <w:r>
              <w:t>19</w:t>
            </w:r>
          </w:p>
        </w:tc>
        <w:tc>
          <w:tcPr>
            <w:tcW w:w="6390" w:type="dxa"/>
            <w:vAlign w:val="center"/>
          </w:tcPr>
          <w:p w14:paraId="5D7ED0C1" w14:textId="5D23C62F" w:rsidR="003C13D0" w:rsidRDefault="003C13D0" w:rsidP="00B05C5E">
            <w:pPr>
              <w:ind w:left="0"/>
              <w:rPr>
                <w:rFonts w:ascii="Calibri" w:eastAsia="Times New Roman" w:hAnsi="Calibri" w:cs="Calibri"/>
              </w:rPr>
            </w:pPr>
            <w:r>
              <w:rPr>
                <w:rFonts w:ascii="Calibri" w:eastAsia="Times New Roman" w:hAnsi="Calibri" w:cs="Calibri"/>
              </w:rPr>
              <w:t>Wright Graduate College</w:t>
            </w:r>
            <w:r w:rsidR="00021DC6">
              <w:rPr>
                <w:rFonts w:ascii="Calibri" w:eastAsia="Times New Roman" w:hAnsi="Calibri" w:cs="Calibri"/>
              </w:rPr>
              <w:t xml:space="preserve"> </w:t>
            </w:r>
            <w:r w:rsidR="00EB6031">
              <w:rPr>
                <w:rFonts w:ascii="Calibri" w:eastAsia="Times New Roman" w:hAnsi="Calibri" w:cs="Calibri"/>
              </w:rPr>
              <w:t xml:space="preserve">Motion to grant candidacy </w:t>
            </w:r>
            <w:r w:rsidR="00021DC6">
              <w:rPr>
                <w:rFonts w:ascii="Calibri" w:eastAsia="Times New Roman" w:hAnsi="Calibri" w:cs="Calibri"/>
              </w:rPr>
              <w:t xml:space="preserve">with observations noted. </w:t>
            </w:r>
          </w:p>
        </w:tc>
        <w:tc>
          <w:tcPr>
            <w:tcW w:w="2533" w:type="dxa"/>
            <w:vAlign w:val="center"/>
          </w:tcPr>
          <w:p w14:paraId="651B72B9" w14:textId="5711CCE3" w:rsidR="003C13D0" w:rsidRDefault="003C13D0" w:rsidP="00B05C5E">
            <w:pPr>
              <w:ind w:left="0"/>
            </w:pPr>
            <w:r>
              <w:t>Reiss</w:t>
            </w:r>
          </w:p>
        </w:tc>
      </w:tr>
      <w:tr w:rsidR="00B05C5E" w:rsidRPr="00EF4879" w14:paraId="0DA8A105" w14:textId="77777777" w:rsidTr="029525AA">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4BCAF40E" w14:textId="6C392C7E" w:rsidR="00B05C5E" w:rsidRPr="0046677C" w:rsidRDefault="004B181E" w:rsidP="00B05C5E">
            <w:pPr>
              <w:ind w:left="0"/>
              <w:jc w:val="center"/>
              <w:rPr>
                <w:b/>
                <w:bCs/>
              </w:rPr>
            </w:pPr>
            <w:r>
              <w:rPr>
                <w:b/>
                <w:bCs/>
              </w:rPr>
              <w:t>G</w:t>
            </w:r>
          </w:p>
        </w:tc>
        <w:tc>
          <w:tcPr>
            <w:tcW w:w="8923" w:type="dxa"/>
            <w:gridSpan w:val="2"/>
            <w:shd w:val="clear" w:color="auto" w:fill="DBE5F1" w:themeFill="accent1" w:themeFillTint="33"/>
            <w:tcMar>
              <w:top w:w="0" w:type="dxa"/>
              <w:bottom w:w="0" w:type="dxa"/>
            </w:tcMar>
            <w:vAlign w:val="center"/>
          </w:tcPr>
          <w:p w14:paraId="4401A1CA" w14:textId="77777777" w:rsidR="00B05C5E" w:rsidRPr="00EF4879" w:rsidRDefault="00B05C5E" w:rsidP="00B05C5E">
            <w:pPr>
              <w:ind w:left="0"/>
              <w:jc w:val="center"/>
              <w:rPr>
                <w:b/>
                <w:bCs/>
              </w:rPr>
            </w:pPr>
            <w:r w:rsidRPr="3F2FABD2">
              <w:rPr>
                <w:b/>
                <w:bCs/>
              </w:rPr>
              <w:t>NEW PROGRAM REVIEWS</w:t>
            </w:r>
          </w:p>
        </w:tc>
      </w:tr>
      <w:tr w:rsidR="00B05C5E" w:rsidRPr="00EF4879" w14:paraId="41AC9FD9" w14:textId="77777777" w:rsidTr="029525AA">
        <w:trPr>
          <w:cantSplit/>
          <w:trHeight w:val="288"/>
          <w:jc w:val="center"/>
        </w:trPr>
        <w:tc>
          <w:tcPr>
            <w:tcW w:w="447" w:type="dxa"/>
            <w:tcMar>
              <w:left w:w="0" w:type="dxa"/>
              <w:right w:w="0" w:type="dxa"/>
            </w:tcMar>
            <w:vAlign w:val="center"/>
          </w:tcPr>
          <w:p w14:paraId="1B0367F2" w14:textId="3706898F" w:rsidR="00B05C5E" w:rsidRDefault="00B05C5E" w:rsidP="00B05C5E">
            <w:pPr>
              <w:ind w:left="0"/>
              <w:jc w:val="center"/>
            </w:pPr>
          </w:p>
          <w:p w14:paraId="5462CFB0" w14:textId="77777777" w:rsidR="004028EF" w:rsidRDefault="004028EF" w:rsidP="00B05C5E">
            <w:pPr>
              <w:ind w:left="0"/>
              <w:jc w:val="center"/>
            </w:pPr>
          </w:p>
          <w:p w14:paraId="1936001B" w14:textId="5795EE6F" w:rsidR="004028EF" w:rsidRDefault="004028EF" w:rsidP="004028EF">
            <w:pPr>
              <w:ind w:left="0"/>
            </w:pPr>
          </w:p>
        </w:tc>
        <w:tc>
          <w:tcPr>
            <w:tcW w:w="6390" w:type="dxa"/>
            <w:vAlign w:val="center"/>
          </w:tcPr>
          <w:p w14:paraId="2E1F7DE6" w14:textId="4142599A" w:rsidR="008018E4" w:rsidRDefault="008018E4" w:rsidP="00B05C5E">
            <w:pPr>
              <w:ind w:left="0"/>
            </w:pPr>
            <w:r>
              <w:t xml:space="preserve">Discussion re: requirements for new programs to come to BOC vs. office approval.  What is “substantially the same” as current programs?  </w:t>
            </w:r>
          </w:p>
          <w:p w14:paraId="29744004" w14:textId="20D78EF5" w:rsidR="008018E4" w:rsidRDefault="00350F73" w:rsidP="00E74FAC">
            <w:pPr>
              <w:pStyle w:val="ListParagraph"/>
              <w:numPr>
                <w:ilvl w:val="0"/>
                <w:numId w:val="8"/>
              </w:numPr>
            </w:pPr>
            <w:r>
              <w:t>If</w:t>
            </w:r>
            <w:r w:rsidR="008018E4">
              <w:t xml:space="preserve"> ISLOs “substantially the same” as current ones</w:t>
            </w:r>
            <w:r>
              <w:t xml:space="preserve"> at the same level, no BOC review is needed</w:t>
            </w:r>
            <w:r w:rsidR="008018E4">
              <w:t xml:space="preserve">. </w:t>
            </w:r>
            <w:r w:rsidR="00E74FAC">
              <w:t xml:space="preserve">This is an office review. </w:t>
            </w:r>
            <w:r>
              <w:t xml:space="preserve">Moved, seconded. Passed. </w:t>
            </w:r>
          </w:p>
          <w:p w14:paraId="7C709641" w14:textId="4EE466D7" w:rsidR="00350F73" w:rsidRDefault="00E74FAC" w:rsidP="008018E4">
            <w:pPr>
              <w:pStyle w:val="ListParagraph"/>
              <w:numPr>
                <w:ilvl w:val="0"/>
                <w:numId w:val="8"/>
              </w:numPr>
            </w:pPr>
            <w:r w:rsidRPr="00E74FAC">
              <w:t>Discussion re: n</w:t>
            </w:r>
            <w:r w:rsidR="00350F73" w:rsidRPr="00E74FAC">
              <w:t>eed to remap BOC review form</w:t>
            </w:r>
            <w:r w:rsidR="00350F73">
              <w:t xml:space="preserve"> to match the manual</w:t>
            </w:r>
          </w:p>
          <w:p w14:paraId="47AEC3A1" w14:textId="1501F6C4" w:rsidR="00B05C5E" w:rsidRDefault="00B05C5E" w:rsidP="00B05C5E">
            <w:pPr>
              <w:ind w:left="0"/>
              <w:rPr>
                <w:bCs/>
              </w:rPr>
            </w:pPr>
          </w:p>
        </w:tc>
        <w:tc>
          <w:tcPr>
            <w:tcW w:w="2533" w:type="dxa"/>
            <w:vAlign w:val="center"/>
          </w:tcPr>
          <w:p w14:paraId="1693DDB1" w14:textId="7419234D" w:rsidR="00B05C5E" w:rsidRDefault="007031A5" w:rsidP="00B05C5E">
            <w:pPr>
              <w:ind w:left="0"/>
              <w:rPr>
                <w:bCs/>
              </w:rPr>
            </w:pPr>
            <w:r>
              <w:rPr>
                <w:bCs/>
              </w:rPr>
              <w:t>Schroeder</w:t>
            </w:r>
          </w:p>
        </w:tc>
      </w:tr>
      <w:tr w:rsidR="004028EF" w:rsidRPr="00EF4879" w14:paraId="6FB76092" w14:textId="77777777" w:rsidTr="029525AA">
        <w:trPr>
          <w:cantSplit/>
          <w:trHeight w:val="288"/>
          <w:jc w:val="center"/>
        </w:trPr>
        <w:tc>
          <w:tcPr>
            <w:tcW w:w="447" w:type="dxa"/>
            <w:tcMar>
              <w:left w:w="0" w:type="dxa"/>
              <w:right w:w="0" w:type="dxa"/>
            </w:tcMar>
            <w:vAlign w:val="center"/>
          </w:tcPr>
          <w:p w14:paraId="4EB5BE59" w14:textId="5B4A6D21" w:rsidR="004028EF" w:rsidRDefault="004028EF" w:rsidP="00B05C5E">
            <w:pPr>
              <w:ind w:left="0"/>
              <w:jc w:val="center"/>
            </w:pPr>
            <w:r>
              <w:t>20</w:t>
            </w:r>
          </w:p>
        </w:tc>
        <w:tc>
          <w:tcPr>
            <w:tcW w:w="6390" w:type="dxa"/>
            <w:vAlign w:val="center"/>
          </w:tcPr>
          <w:p w14:paraId="2D542E88" w14:textId="64E9CC82" w:rsidR="004028EF" w:rsidRDefault="004028EF" w:rsidP="00B05C5E">
            <w:pPr>
              <w:ind w:left="0"/>
            </w:pPr>
            <w:r>
              <w:t>Ashford University-send ISLO’s for office review</w:t>
            </w:r>
            <w:r w:rsidR="00EB6031">
              <w:t>/approval</w:t>
            </w:r>
          </w:p>
        </w:tc>
        <w:tc>
          <w:tcPr>
            <w:tcW w:w="2533" w:type="dxa"/>
            <w:vAlign w:val="center"/>
          </w:tcPr>
          <w:p w14:paraId="1189D4DA" w14:textId="77777777" w:rsidR="004028EF" w:rsidRDefault="004028EF" w:rsidP="00B05C5E">
            <w:pPr>
              <w:ind w:left="0"/>
              <w:rPr>
                <w:bCs/>
              </w:rPr>
            </w:pPr>
          </w:p>
        </w:tc>
      </w:tr>
      <w:tr w:rsidR="007031A5" w:rsidRPr="00EF4879" w14:paraId="32097940" w14:textId="77777777" w:rsidTr="029525AA">
        <w:trPr>
          <w:cantSplit/>
          <w:trHeight w:val="288"/>
          <w:jc w:val="center"/>
        </w:trPr>
        <w:tc>
          <w:tcPr>
            <w:tcW w:w="447" w:type="dxa"/>
            <w:tcMar>
              <w:left w:w="0" w:type="dxa"/>
              <w:right w:w="0" w:type="dxa"/>
            </w:tcMar>
            <w:vAlign w:val="center"/>
          </w:tcPr>
          <w:p w14:paraId="44BE2A33" w14:textId="6F300727" w:rsidR="007031A5" w:rsidRDefault="00AC40AA" w:rsidP="00B05C5E">
            <w:pPr>
              <w:ind w:left="0"/>
              <w:jc w:val="center"/>
            </w:pPr>
            <w:r>
              <w:t>21</w:t>
            </w:r>
          </w:p>
        </w:tc>
        <w:tc>
          <w:tcPr>
            <w:tcW w:w="6390" w:type="dxa"/>
            <w:vAlign w:val="center"/>
          </w:tcPr>
          <w:p w14:paraId="4E65AE29" w14:textId="40858335" w:rsidR="007031A5" w:rsidRDefault="007031A5" w:rsidP="00B05C5E">
            <w:pPr>
              <w:ind w:left="0"/>
            </w:pPr>
            <w:r>
              <w:t>Charleston Southern University</w:t>
            </w:r>
            <w:r w:rsidR="00B55C0C">
              <w:t>-Motion to approve. Second. Passed.</w:t>
            </w:r>
          </w:p>
        </w:tc>
        <w:tc>
          <w:tcPr>
            <w:tcW w:w="2533" w:type="dxa"/>
            <w:vAlign w:val="center"/>
          </w:tcPr>
          <w:p w14:paraId="2DD7273F" w14:textId="65481D92" w:rsidR="007031A5" w:rsidRDefault="007031A5" w:rsidP="00B05C5E">
            <w:pPr>
              <w:ind w:left="0"/>
              <w:rPr>
                <w:bCs/>
              </w:rPr>
            </w:pPr>
            <w:r>
              <w:rPr>
                <w:bCs/>
              </w:rPr>
              <w:t>Sautner</w:t>
            </w:r>
          </w:p>
        </w:tc>
      </w:tr>
      <w:tr w:rsidR="007031A5" w:rsidRPr="00EF4879" w14:paraId="167BE09C" w14:textId="77777777" w:rsidTr="029525AA">
        <w:trPr>
          <w:cantSplit/>
          <w:trHeight w:val="288"/>
          <w:jc w:val="center"/>
        </w:trPr>
        <w:tc>
          <w:tcPr>
            <w:tcW w:w="447" w:type="dxa"/>
            <w:tcMar>
              <w:left w:w="0" w:type="dxa"/>
              <w:right w:w="0" w:type="dxa"/>
            </w:tcMar>
            <w:vAlign w:val="center"/>
          </w:tcPr>
          <w:p w14:paraId="2FDC3AB4" w14:textId="33355B43" w:rsidR="007031A5" w:rsidRDefault="00AC40AA" w:rsidP="00B05C5E">
            <w:pPr>
              <w:ind w:left="0"/>
              <w:jc w:val="center"/>
            </w:pPr>
            <w:r>
              <w:t>22</w:t>
            </w:r>
          </w:p>
        </w:tc>
        <w:tc>
          <w:tcPr>
            <w:tcW w:w="6390" w:type="dxa"/>
            <w:vAlign w:val="center"/>
          </w:tcPr>
          <w:p w14:paraId="2EC4C77C" w14:textId="041203A5" w:rsidR="007031A5" w:rsidRDefault="007031A5" w:rsidP="00B05C5E">
            <w:pPr>
              <w:ind w:left="0"/>
            </w:pPr>
            <w:r>
              <w:t>Point Park University</w:t>
            </w:r>
            <w:r w:rsidR="00B1528E">
              <w:t xml:space="preserve">. Not approved: </w:t>
            </w:r>
            <w:r w:rsidR="001679F6">
              <w:t>need to have (1) OAP for 18</w:t>
            </w:r>
            <w:r w:rsidR="00B1528E">
              <w:t>-</w:t>
            </w:r>
            <w:r w:rsidR="001679F6">
              <w:t>19</w:t>
            </w:r>
            <w:r w:rsidR="00B1528E">
              <w:t xml:space="preserve"> complete for this program and</w:t>
            </w:r>
            <w:r w:rsidR="001679F6">
              <w:t xml:space="preserve"> data from 2018-19</w:t>
            </w:r>
            <w:r w:rsidR="00B1528E">
              <w:t xml:space="preserve">. </w:t>
            </w:r>
            <w:r w:rsidR="001679F6">
              <w:t xml:space="preserve"> </w:t>
            </w:r>
            <w:r w:rsidR="00E74FAC">
              <w:t xml:space="preserve">Office to review/approve. </w:t>
            </w:r>
          </w:p>
        </w:tc>
        <w:tc>
          <w:tcPr>
            <w:tcW w:w="2533" w:type="dxa"/>
            <w:vAlign w:val="center"/>
          </w:tcPr>
          <w:p w14:paraId="4E25AD72" w14:textId="27E55D4E" w:rsidR="007031A5" w:rsidRDefault="007031A5" w:rsidP="00B05C5E">
            <w:pPr>
              <w:ind w:left="0"/>
              <w:rPr>
                <w:bCs/>
              </w:rPr>
            </w:pPr>
            <w:r>
              <w:rPr>
                <w:bCs/>
              </w:rPr>
              <w:t>Mosely-</w:t>
            </w:r>
            <w:proofErr w:type="spellStart"/>
            <w:r>
              <w:rPr>
                <w:bCs/>
              </w:rPr>
              <w:t>Matchett</w:t>
            </w:r>
            <w:proofErr w:type="spellEnd"/>
          </w:p>
        </w:tc>
      </w:tr>
      <w:tr w:rsidR="007031A5" w:rsidRPr="00EF4879" w14:paraId="4CB52CD4" w14:textId="77777777" w:rsidTr="029525AA">
        <w:trPr>
          <w:cantSplit/>
          <w:trHeight w:val="288"/>
          <w:jc w:val="center"/>
        </w:trPr>
        <w:tc>
          <w:tcPr>
            <w:tcW w:w="447" w:type="dxa"/>
            <w:tcMar>
              <w:left w:w="0" w:type="dxa"/>
              <w:right w:w="0" w:type="dxa"/>
            </w:tcMar>
            <w:vAlign w:val="center"/>
          </w:tcPr>
          <w:p w14:paraId="1C80154A" w14:textId="572793AF" w:rsidR="007031A5" w:rsidRDefault="00AC40AA" w:rsidP="00B05C5E">
            <w:pPr>
              <w:ind w:left="0"/>
              <w:jc w:val="center"/>
            </w:pPr>
            <w:r>
              <w:t>23</w:t>
            </w:r>
          </w:p>
        </w:tc>
        <w:tc>
          <w:tcPr>
            <w:tcW w:w="6390" w:type="dxa"/>
            <w:vAlign w:val="center"/>
          </w:tcPr>
          <w:p w14:paraId="78BD6D9A" w14:textId="5CB4C948" w:rsidR="007031A5" w:rsidRDefault="007031A5" w:rsidP="00B05C5E">
            <w:pPr>
              <w:ind w:left="0"/>
            </w:pPr>
            <w:r>
              <w:t xml:space="preserve">WSB </w:t>
            </w:r>
            <w:proofErr w:type="spellStart"/>
            <w:r>
              <w:t>Posnan</w:t>
            </w:r>
            <w:proofErr w:type="spellEnd"/>
            <w:r w:rsidR="00B1528E">
              <w:t>: 5 items for MBA: I</w:t>
            </w:r>
            <w:r w:rsidR="00E74FAC">
              <w:t>SLOs</w:t>
            </w:r>
            <w:r w:rsidR="00B1528E">
              <w:t xml:space="preserve"> not linked to KLO</w:t>
            </w:r>
            <w:r w:rsidR="00E74FAC">
              <w:t>s;</w:t>
            </w:r>
            <w:r w:rsidR="00B1528E">
              <w:t xml:space="preserve"> nothing is mapped to broad-based goal</w:t>
            </w:r>
            <w:r w:rsidR="00E74FAC">
              <w:t>;</w:t>
            </w:r>
            <w:r w:rsidR="00B1528E">
              <w:t>, are using grades in their targets</w:t>
            </w:r>
            <w:r w:rsidR="00E74FAC">
              <w:t>;</w:t>
            </w:r>
            <w:r w:rsidR="00B1528E">
              <w:t xml:space="preserve"> not linked with ISLOs to each measure</w:t>
            </w:r>
            <w:r w:rsidR="00E74FAC">
              <w:t>;</w:t>
            </w:r>
            <w:r w:rsidR="00B1528E">
              <w:t xml:space="preserve"> no copy of assessment tools provided.</w:t>
            </w:r>
            <w:r w:rsidR="00744741">
              <w:t xml:space="preserve"> No</w:t>
            </w:r>
            <w:r w:rsidR="004028EF">
              <w:t>t approved</w:t>
            </w:r>
            <w:r w:rsidR="00744741">
              <w:t xml:space="preserve"> with 5 notes. Second. Passed. </w:t>
            </w:r>
          </w:p>
        </w:tc>
        <w:tc>
          <w:tcPr>
            <w:tcW w:w="2533" w:type="dxa"/>
            <w:vAlign w:val="center"/>
          </w:tcPr>
          <w:p w14:paraId="1622B638" w14:textId="38454269" w:rsidR="007031A5" w:rsidRDefault="007031A5" w:rsidP="00B05C5E">
            <w:pPr>
              <w:ind w:left="0"/>
              <w:rPr>
                <w:bCs/>
              </w:rPr>
            </w:pPr>
            <w:r>
              <w:rPr>
                <w:bCs/>
              </w:rPr>
              <w:t>Kovacs</w:t>
            </w:r>
          </w:p>
        </w:tc>
      </w:tr>
      <w:tr w:rsidR="00B05C5E" w:rsidRPr="00EF4879" w14:paraId="0265D02A" w14:textId="77777777" w:rsidTr="029525AA">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167D2BCA" w14:textId="32A3BC1E" w:rsidR="00B05C5E" w:rsidRPr="00EF4879" w:rsidRDefault="004B181E" w:rsidP="00B05C5E">
            <w:pPr>
              <w:ind w:left="0"/>
              <w:jc w:val="center"/>
              <w:rPr>
                <w:b/>
                <w:bCs/>
              </w:rPr>
            </w:pPr>
            <w:r>
              <w:rPr>
                <w:b/>
                <w:bCs/>
              </w:rPr>
              <w:t>H</w:t>
            </w:r>
          </w:p>
        </w:tc>
        <w:tc>
          <w:tcPr>
            <w:tcW w:w="8923" w:type="dxa"/>
            <w:gridSpan w:val="2"/>
            <w:shd w:val="clear" w:color="auto" w:fill="DBE5F1" w:themeFill="accent1" w:themeFillTint="33"/>
            <w:tcMar>
              <w:top w:w="0" w:type="dxa"/>
              <w:bottom w:w="0" w:type="dxa"/>
            </w:tcMar>
            <w:vAlign w:val="center"/>
          </w:tcPr>
          <w:p w14:paraId="5B05A3B2" w14:textId="77777777" w:rsidR="00B05C5E" w:rsidRPr="00EF4879" w:rsidRDefault="00B05C5E" w:rsidP="00B05C5E">
            <w:pPr>
              <w:ind w:left="0"/>
              <w:jc w:val="center"/>
              <w:rPr>
                <w:b/>
                <w:bCs/>
              </w:rPr>
            </w:pPr>
            <w:r w:rsidRPr="3F2FABD2">
              <w:rPr>
                <w:b/>
                <w:bCs/>
              </w:rPr>
              <w:t>PREVIOUSLY-DEFERRED ACTIONS</w:t>
            </w:r>
          </w:p>
        </w:tc>
      </w:tr>
      <w:tr w:rsidR="00B05C5E" w:rsidRPr="00EF4879" w14:paraId="0D6D7A4B" w14:textId="77777777" w:rsidTr="029525AA">
        <w:trPr>
          <w:cantSplit/>
          <w:trHeight w:val="288"/>
          <w:jc w:val="center"/>
        </w:trPr>
        <w:tc>
          <w:tcPr>
            <w:tcW w:w="447" w:type="dxa"/>
            <w:tcMar>
              <w:left w:w="0" w:type="dxa"/>
              <w:right w:w="0" w:type="dxa"/>
            </w:tcMar>
            <w:vAlign w:val="center"/>
          </w:tcPr>
          <w:p w14:paraId="50075F8D" w14:textId="42EB71ED" w:rsidR="00B05C5E" w:rsidRPr="0067387F" w:rsidRDefault="00AC40AA" w:rsidP="00B05C5E">
            <w:pPr>
              <w:ind w:left="0"/>
              <w:jc w:val="center"/>
            </w:pPr>
            <w:r>
              <w:t>24</w:t>
            </w:r>
          </w:p>
        </w:tc>
        <w:tc>
          <w:tcPr>
            <w:tcW w:w="6390" w:type="dxa"/>
            <w:vAlign w:val="center"/>
          </w:tcPr>
          <w:p w14:paraId="133F9C1C" w14:textId="0575913D" w:rsidR="00B05C5E" w:rsidRDefault="003C13D0" w:rsidP="00B05C5E">
            <w:pPr>
              <w:ind w:left="0"/>
            </w:pPr>
            <w:r>
              <w:t>Manhattanville College</w:t>
            </w:r>
            <w:r w:rsidR="00E24821">
              <w:t xml:space="preserve">:    </w:t>
            </w:r>
            <w:r w:rsidR="00EB6031">
              <w:t xml:space="preserve">Motion to </w:t>
            </w:r>
            <w:r w:rsidR="006775CB">
              <w:t>grant</w:t>
            </w:r>
            <w:r w:rsidR="00696335">
              <w:t xml:space="preserve"> </w:t>
            </w:r>
            <w:r w:rsidR="00725D43">
              <w:t xml:space="preserve">accreditation </w:t>
            </w:r>
            <w:r w:rsidR="00696335">
              <w:t>with</w:t>
            </w:r>
            <w:r w:rsidR="00E24821">
              <w:t xml:space="preserve"> Note 1.1</w:t>
            </w:r>
            <w:r w:rsidR="000816B3">
              <w:t xml:space="preserve">, </w:t>
            </w:r>
            <w:r w:rsidR="00696335">
              <w:t xml:space="preserve">4.1 </w:t>
            </w:r>
            <w:r w:rsidR="000816B3">
              <w:t xml:space="preserve">7.1, </w:t>
            </w:r>
            <w:r w:rsidR="00696335">
              <w:t xml:space="preserve">7.6 </w:t>
            </w:r>
            <w:r w:rsidR="00EB6031">
              <w:t xml:space="preserve">and </w:t>
            </w:r>
            <w:r w:rsidR="000816B3">
              <w:t>Observation 4.7, 5.1, 6.6</w:t>
            </w:r>
            <w:r w:rsidR="006775CB">
              <w:t>. Second. Carried</w:t>
            </w:r>
          </w:p>
          <w:p w14:paraId="45E98F4C" w14:textId="7C49B056" w:rsidR="00E24821" w:rsidRDefault="00EB6031" w:rsidP="00B05C5E">
            <w:pPr>
              <w:ind w:left="0"/>
              <w:rPr>
                <w:bCs/>
              </w:rPr>
            </w:pPr>
            <w:r>
              <w:t>(</w:t>
            </w:r>
            <w:r w:rsidR="00E74FAC">
              <w:t xml:space="preserve">Discussion re: </w:t>
            </w:r>
            <w:r w:rsidRPr="00E74FAC">
              <w:t>BOC requests in</w:t>
            </w:r>
            <w:r w:rsidR="00E24821" w:rsidRPr="00E74FAC">
              <w:t xml:space="preserve"> future deferrals have folder with previous documents including last Commissioner review</w:t>
            </w:r>
            <w:r>
              <w:t>)</w:t>
            </w:r>
          </w:p>
        </w:tc>
        <w:tc>
          <w:tcPr>
            <w:tcW w:w="2533" w:type="dxa"/>
            <w:vAlign w:val="center"/>
          </w:tcPr>
          <w:p w14:paraId="2C2B1FBE" w14:textId="1DBDE54E" w:rsidR="00B05C5E" w:rsidRDefault="003C13D0" w:rsidP="00B05C5E">
            <w:pPr>
              <w:ind w:left="0"/>
            </w:pPr>
            <w:r>
              <w:t>Yates/</w:t>
            </w:r>
          </w:p>
        </w:tc>
      </w:tr>
      <w:tr w:rsidR="00B05C5E" w:rsidRPr="00EF4879" w14:paraId="5065171D" w14:textId="77777777" w:rsidTr="029525AA">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054D3192" w14:textId="6C2E54D6" w:rsidR="00B05C5E" w:rsidRPr="00EF4879" w:rsidRDefault="004B181E" w:rsidP="00B05C5E">
            <w:pPr>
              <w:ind w:left="0"/>
              <w:jc w:val="center"/>
              <w:rPr>
                <w:b/>
                <w:bCs/>
              </w:rPr>
            </w:pPr>
            <w:r>
              <w:rPr>
                <w:b/>
                <w:bCs/>
              </w:rPr>
              <w:t>I</w:t>
            </w:r>
          </w:p>
        </w:tc>
        <w:tc>
          <w:tcPr>
            <w:tcW w:w="8923" w:type="dxa"/>
            <w:gridSpan w:val="2"/>
            <w:shd w:val="clear" w:color="auto" w:fill="DBE5F1" w:themeFill="accent1" w:themeFillTint="33"/>
            <w:tcMar>
              <w:top w:w="0" w:type="dxa"/>
              <w:bottom w:w="0" w:type="dxa"/>
            </w:tcMar>
            <w:vAlign w:val="center"/>
          </w:tcPr>
          <w:p w14:paraId="7D736E8D" w14:textId="1A622F28" w:rsidR="00B05C5E" w:rsidRPr="00EF4879" w:rsidRDefault="00B05C5E" w:rsidP="00B05C5E">
            <w:pPr>
              <w:ind w:left="0"/>
              <w:jc w:val="center"/>
              <w:rPr>
                <w:b/>
                <w:bCs/>
              </w:rPr>
            </w:pPr>
            <w:r w:rsidRPr="3F2FABD2">
              <w:rPr>
                <w:b/>
                <w:bCs/>
              </w:rPr>
              <w:t>OTHER ACCREDITATION ACTIONS</w:t>
            </w:r>
          </w:p>
        </w:tc>
      </w:tr>
      <w:tr w:rsidR="00B05C5E" w:rsidRPr="00EF4879" w14:paraId="6221837D" w14:textId="77777777" w:rsidTr="029525AA">
        <w:trPr>
          <w:cantSplit/>
          <w:trHeight w:val="288"/>
          <w:jc w:val="center"/>
        </w:trPr>
        <w:tc>
          <w:tcPr>
            <w:tcW w:w="447" w:type="dxa"/>
            <w:tcMar>
              <w:left w:w="0" w:type="dxa"/>
              <w:right w:w="0" w:type="dxa"/>
            </w:tcMar>
            <w:vAlign w:val="center"/>
          </w:tcPr>
          <w:p w14:paraId="5134A6D9" w14:textId="57E47352" w:rsidR="00B05C5E" w:rsidRDefault="00AC40AA" w:rsidP="00B05C5E">
            <w:pPr>
              <w:ind w:left="0"/>
              <w:jc w:val="center"/>
            </w:pPr>
            <w:r>
              <w:t>25</w:t>
            </w:r>
          </w:p>
        </w:tc>
        <w:tc>
          <w:tcPr>
            <w:tcW w:w="6390" w:type="dxa"/>
            <w:vAlign w:val="center"/>
          </w:tcPr>
          <w:p w14:paraId="6BF1C193" w14:textId="5F813CC4" w:rsidR="00B05C5E" w:rsidRPr="001D6665" w:rsidRDefault="00924583" w:rsidP="00B05C5E">
            <w:pPr>
              <w:ind w:left="0"/>
              <w:rPr>
                <w:bCs/>
              </w:rPr>
            </w:pPr>
            <w:r>
              <w:rPr>
                <w:bCs/>
              </w:rPr>
              <w:t xml:space="preserve">Member status page updates </w:t>
            </w:r>
            <w:r w:rsidR="00696335">
              <w:rPr>
                <w:bCs/>
              </w:rPr>
              <w:t xml:space="preserve">Discussion re: </w:t>
            </w:r>
            <w:r w:rsidR="00255723">
              <w:rPr>
                <w:bCs/>
              </w:rPr>
              <w:t xml:space="preserve">maintaining web pages with old discontinued programs.  Agreed it would be helpful to students.  </w:t>
            </w:r>
            <w:r w:rsidR="00EB6031">
              <w:rPr>
                <w:bCs/>
              </w:rPr>
              <w:t xml:space="preserve">Board suggests adding </w:t>
            </w:r>
            <w:r w:rsidR="00744741">
              <w:rPr>
                <w:bCs/>
              </w:rPr>
              <w:t>a note to status page</w:t>
            </w:r>
            <w:r w:rsidR="00EB6031">
              <w:rPr>
                <w:bCs/>
              </w:rPr>
              <w:t>s such as</w:t>
            </w:r>
            <w:r w:rsidR="00744741">
              <w:rPr>
                <w:bCs/>
              </w:rPr>
              <w:t xml:space="preserve"> “for </w:t>
            </w:r>
            <w:r w:rsidR="00EB6031">
              <w:rPr>
                <w:bCs/>
              </w:rPr>
              <w:t xml:space="preserve">a listing of </w:t>
            </w:r>
            <w:r w:rsidR="00744741">
              <w:rPr>
                <w:bCs/>
              </w:rPr>
              <w:t xml:space="preserve">former programs </w:t>
            </w:r>
            <w:r w:rsidR="00EB6031">
              <w:rPr>
                <w:bCs/>
              </w:rPr>
              <w:t>that were accredited but no longer offered</w:t>
            </w:r>
            <w:r w:rsidR="00744741">
              <w:rPr>
                <w:bCs/>
              </w:rPr>
              <w:t>…contact</w:t>
            </w:r>
            <w:r w:rsidR="00EB6031">
              <w:rPr>
                <w:bCs/>
              </w:rPr>
              <w:t xml:space="preserve"> IACBE</w:t>
            </w:r>
            <w:r w:rsidR="00744741">
              <w:rPr>
                <w:bCs/>
              </w:rPr>
              <w:t>”</w:t>
            </w:r>
            <w:r w:rsidR="00375579">
              <w:rPr>
                <w:bCs/>
              </w:rPr>
              <w:t>.  In this way, status pages won’t become lengthy and cumbersome.</w:t>
            </w:r>
          </w:p>
        </w:tc>
        <w:tc>
          <w:tcPr>
            <w:tcW w:w="2533" w:type="dxa"/>
            <w:vAlign w:val="center"/>
          </w:tcPr>
          <w:p w14:paraId="349C1013" w14:textId="2E671357" w:rsidR="00B05C5E" w:rsidRDefault="00924583" w:rsidP="00B05C5E">
            <w:pPr>
              <w:ind w:left="0"/>
            </w:pPr>
            <w:r>
              <w:t>Collins</w:t>
            </w:r>
          </w:p>
        </w:tc>
      </w:tr>
      <w:tr w:rsidR="00B05C5E" w:rsidRPr="00EF4879" w14:paraId="3A8E5B57" w14:textId="77777777" w:rsidTr="029525AA">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3ABE4367" w14:textId="7BFB90C3" w:rsidR="00B05C5E" w:rsidRPr="001A26EF" w:rsidRDefault="004B181E" w:rsidP="00B05C5E">
            <w:pPr>
              <w:ind w:left="0"/>
              <w:jc w:val="center"/>
              <w:rPr>
                <w:b/>
                <w:bCs/>
              </w:rPr>
            </w:pPr>
            <w:r>
              <w:rPr>
                <w:b/>
                <w:bCs/>
              </w:rPr>
              <w:t>J</w:t>
            </w:r>
          </w:p>
        </w:tc>
        <w:tc>
          <w:tcPr>
            <w:tcW w:w="8923" w:type="dxa"/>
            <w:gridSpan w:val="2"/>
            <w:shd w:val="clear" w:color="auto" w:fill="DBE5F1" w:themeFill="accent1" w:themeFillTint="33"/>
            <w:tcMar>
              <w:top w:w="0" w:type="dxa"/>
              <w:bottom w:w="0" w:type="dxa"/>
            </w:tcMar>
            <w:vAlign w:val="center"/>
          </w:tcPr>
          <w:p w14:paraId="302C9CF6" w14:textId="77777777" w:rsidR="00B05C5E" w:rsidRPr="00EF4879" w:rsidRDefault="00B05C5E" w:rsidP="00B05C5E">
            <w:pPr>
              <w:ind w:left="0"/>
              <w:jc w:val="center"/>
              <w:rPr>
                <w:b/>
                <w:bCs/>
                <w:highlight w:val="cyan"/>
              </w:rPr>
            </w:pPr>
            <w:r w:rsidRPr="00D90D2A">
              <w:rPr>
                <w:b/>
                <w:bCs/>
              </w:rPr>
              <w:t>EXTENSION REQUESTS</w:t>
            </w:r>
          </w:p>
        </w:tc>
      </w:tr>
      <w:tr w:rsidR="00B05C5E" w:rsidRPr="00EF4879" w14:paraId="79A56139" w14:textId="77777777" w:rsidTr="029525AA">
        <w:trPr>
          <w:cantSplit/>
          <w:trHeight w:val="288"/>
          <w:jc w:val="center"/>
        </w:trPr>
        <w:tc>
          <w:tcPr>
            <w:tcW w:w="447" w:type="dxa"/>
            <w:tcMar>
              <w:left w:w="0" w:type="dxa"/>
              <w:right w:w="0" w:type="dxa"/>
            </w:tcMar>
            <w:vAlign w:val="center"/>
          </w:tcPr>
          <w:p w14:paraId="0252E782" w14:textId="02969393" w:rsidR="00B05C5E" w:rsidRDefault="00B05C5E" w:rsidP="00B05C5E">
            <w:pPr>
              <w:ind w:left="0"/>
              <w:jc w:val="center"/>
              <w:rPr>
                <w:highlight w:val="cyan"/>
              </w:rPr>
            </w:pPr>
          </w:p>
        </w:tc>
        <w:tc>
          <w:tcPr>
            <w:tcW w:w="6390" w:type="dxa"/>
            <w:vAlign w:val="center"/>
          </w:tcPr>
          <w:p w14:paraId="418823F8" w14:textId="2A94F47A" w:rsidR="00B05C5E" w:rsidRPr="00B05C5E" w:rsidRDefault="00B05C5E" w:rsidP="00871B7B">
            <w:pPr>
              <w:ind w:left="0"/>
              <w:jc w:val="center"/>
              <w:rPr>
                <w:bCs/>
                <w:i/>
              </w:rPr>
            </w:pPr>
            <w:r w:rsidRPr="00B05C5E">
              <w:rPr>
                <w:i/>
              </w:rPr>
              <w:t>Extension of Accreditation</w:t>
            </w:r>
          </w:p>
        </w:tc>
        <w:tc>
          <w:tcPr>
            <w:tcW w:w="2533" w:type="dxa"/>
            <w:vAlign w:val="center"/>
          </w:tcPr>
          <w:p w14:paraId="1ED8AE59" w14:textId="75CA1323" w:rsidR="00B05C5E" w:rsidRDefault="00B05C5E" w:rsidP="00B05C5E">
            <w:pPr>
              <w:ind w:left="0"/>
            </w:pPr>
          </w:p>
        </w:tc>
      </w:tr>
      <w:tr w:rsidR="00146005" w:rsidRPr="00EF4879" w14:paraId="7ED0D39E" w14:textId="77777777" w:rsidTr="029525AA">
        <w:trPr>
          <w:cantSplit/>
          <w:trHeight w:val="288"/>
          <w:jc w:val="center"/>
        </w:trPr>
        <w:tc>
          <w:tcPr>
            <w:tcW w:w="447" w:type="dxa"/>
            <w:tcMar>
              <w:left w:w="0" w:type="dxa"/>
              <w:right w:w="0" w:type="dxa"/>
            </w:tcMar>
            <w:vAlign w:val="center"/>
          </w:tcPr>
          <w:p w14:paraId="74FD32D9" w14:textId="1135487A" w:rsidR="00146005" w:rsidRDefault="00146005" w:rsidP="00B05C5E">
            <w:pPr>
              <w:ind w:left="0"/>
              <w:jc w:val="center"/>
            </w:pPr>
            <w:r>
              <w:t>26</w:t>
            </w:r>
          </w:p>
        </w:tc>
        <w:tc>
          <w:tcPr>
            <w:tcW w:w="6390" w:type="dxa"/>
            <w:vAlign w:val="bottom"/>
          </w:tcPr>
          <w:p w14:paraId="3094A6F1" w14:textId="2020EC74" w:rsidR="00146005" w:rsidRPr="00613747" w:rsidRDefault="00613747" w:rsidP="00B05C5E">
            <w:pPr>
              <w:ind w:left="0"/>
              <w:rPr>
                <w:bCs/>
              </w:rPr>
            </w:pPr>
            <w:r>
              <w:rPr>
                <w:bCs/>
              </w:rPr>
              <w:t>Azusa Pacific University</w:t>
            </w:r>
            <w:r w:rsidR="00744741">
              <w:rPr>
                <w:bCs/>
              </w:rPr>
              <w:t xml:space="preserve"> Granted</w:t>
            </w:r>
          </w:p>
        </w:tc>
        <w:tc>
          <w:tcPr>
            <w:tcW w:w="2533" w:type="dxa"/>
            <w:vAlign w:val="center"/>
          </w:tcPr>
          <w:p w14:paraId="51D54BFC" w14:textId="7CF561AE" w:rsidR="00146005" w:rsidRDefault="00613747" w:rsidP="00B05C5E">
            <w:pPr>
              <w:ind w:left="0"/>
            </w:pPr>
            <w:r>
              <w:t>Collins</w:t>
            </w:r>
          </w:p>
        </w:tc>
      </w:tr>
      <w:tr w:rsidR="00E767E0" w:rsidRPr="00EF4879" w14:paraId="0980A920" w14:textId="77777777" w:rsidTr="029525AA">
        <w:trPr>
          <w:cantSplit/>
          <w:trHeight w:val="288"/>
          <w:jc w:val="center"/>
        </w:trPr>
        <w:tc>
          <w:tcPr>
            <w:tcW w:w="447" w:type="dxa"/>
            <w:tcMar>
              <w:left w:w="0" w:type="dxa"/>
              <w:right w:w="0" w:type="dxa"/>
            </w:tcMar>
            <w:vAlign w:val="center"/>
          </w:tcPr>
          <w:p w14:paraId="3B19045D" w14:textId="59C685E8" w:rsidR="00E767E0" w:rsidRDefault="56ACD58B" w:rsidP="00B05C5E">
            <w:pPr>
              <w:ind w:left="0"/>
              <w:jc w:val="center"/>
            </w:pPr>
            <w:r>
              <w:t>2</w:t>
            </w:r>
            <w:r w:rsidR="00AC40AA">
              <w:t>7</w:t>
            </w:r>
          </w:p>
        </w:tc>
        <w:tc>
          <w:tcPr>
            <w:tcW w:w="6390" w:type="dxa"/>
            <w:vAlign w:val="bottom"/>
          </w:tcPr>
          <w:p w14:paraId="49C93708" w14:textId="13C7F286" w:rsidR="00E767E0" w:rsidRDefault="007031A5" w:rsidP="00B05C5E">
            <w:pPr>
              <w:ind w:left="0"/>
              <w:rPr>
                <w:bCs/>
              </w:rPr>
            </w:pPr>
            <w:proofErr w:type="spellStart"/>
            <w:r>
              <w:rPr>
                <w:bCs/>
              </w:rPr>
              <w:t>Girne</w:t>
            </w:r>
            <w:proofErr w:type="spellEnd"/>
            <w:r>
              <w:rPr>
                <w:bCs/>
              </w:rPr>
              <w:t xml:space="preserve"> American University (GAU)</w:t>
            </w:r>
            <w:r w:rsidR="00744741">
              <w:rPr>
                <w:bCs/>
              </w:rPr>
              <w:t xml:space="preserve"> Denied</w:t>
            </w:r>
            <w:r w:rsidR="00411E40">
              <w:rPr>
                <w:bCs/>
              </w:rPr>
              <w:t xml:space="preserve">. </w:t>
            </w:r>
            <w:r w:rsidR="00E74FAC">
              <w:rPr>
                <w:bCs/>
              </w:rPr>
              <w:t>Additional information received 7/17 at meeting.</w:t>
            </w:r>
            <w:r w:rsidR="00411E40">
              <w:rPr>
                <w:bCs/>
              </w:rPr>
              <w:t xml:space="preserve">  </w:t>
            </w:r>
            <w:r w:rsidR="00E74FAC">
              <w:rPr>
                <w:bCs/>
              </w:rPr>
              <w:t>New m</w:t>
            </w:r>
            <w:r w:rsidR="00411E40">
              <w:rPr>
                <w:bCs/>
              </w:rPr>
              <w:t>otion to grant, second, carried. Include in letter that a third extension will not be granted.</w:t>
            </w:r>
          </w:p>
        </w:tc>
        <w:tc>
          <w:tcPr>
            <w:tcW w:w="2533" w:type="dxa"/>
            <w:vAlign w:val="center"/>
          </w:tcPr>
          <w:p w14:paraId="4751002D" w14:textId="7815415A" w:rsidR="00E767E0" w:rsidRDefault="00E767E0" w:rsidP="00B05C5E">
            <w:pPr>
              <w:ind w:left="0"/>
            </w:pPr>
            <w:r>
              <w:t>Collins</w:t>
            </w:r>
          </w:p>
        </w:tc>
      </w:tr>
      <w:tr w:rsidR="00613747" w:rsidRPr="00EF4879" w14:paraId="54258161" w14:textId="77777777" w:rsidTr="029525AA">
        <w:trPr>
          <w:cantSplit/>
          <w:trHeight w:val="288"/>
          <w:jc w:val="center"/>
        </w:trPr>
        <w:tc>
          <w:tcPr>
            <w:tcW w:w="447" w:type="dxa"/>
            <w:tcMar>
              <w:left w:w="0" w:type="dxa"/>
              <w:right w:w="0" w:type="dxa"/>
            </w:tcMar>
            <w:vAlign w:val="center"/>
          </w:tcPr>
          <w:p w14:paraId="5F0E2356" w14:textId="7C9A2718" w:rsidR="00613747" w:rsidRDefault="00A03146" w:rsidP="00B05C5E">
            <w:pPr>
              <w:ind w:left="0"/>
              <w:jc w:val="center"/>
            </w:pPr>
            <w:r>
              <w:t>28</w:t>
            </w:r>
          </w:p>
        </w:tc>
        <w:tc>
          <w:tcPr>
            <w:tcW w:w="6390" w:type="dxa"/>
            <w:vAlign w:val="bottom"/>
          </w:tcPr>
          <w:p w14:paraId="3C6E95A6" w14:textId="3FE83C9D" w:rsidR="00613747" w:rsidRDefault="00613747" w:rsidP="00B05C5E">
            <w:pPr>
              <w:ind w:left="0"/>
              <w:rPr>
                <w:bCs/>
              </w:rPr>
            </w:pPr>
            <w:r>
              <w:rPr>
                <w:bCs/>
              </w:rPr>
              <w:t>International University of Geneva</w:t>
            </w:r>
            <w:r w:rsidR="00744741">
              <w:rPr>
                <w:bCs/>
              </w:rPr>
              <w:t xml:space="preserve"> </w:t>
            </w:r>
            <w:r w:rsidR="00EB6031">
              <w:rPr>
                <w:bCs/>
              </w:rPr>
              <w:t>Granted</w:t>
            </w:r>
          </w:p>
        </w:tc>
        <w:tc>
          <w:tcPr>
            <w:tcW w:w="2533" w:type="dxa"/>
            <w:vAlign w:val="center"/>
          </w:tcPr>
          <w:p w14:paraId="796FE15C" w14:textId="195C2793" w:rsidR="00613747" w:rsidRDefault="00613747" w:rsidP="00B05C5E">
            <w:pPr>
              <w:ind w:left="0"/>
            </w:pPr>
            <w:r>
              <w:t>Collins</w:t>
            </w:r>
          </w:p>
        </w:tc>
      </w:tr>
      <w:tr w:rsidR="00B05C5E" w:rsidRPr="00EF4879" w14:paraId="4793331C" w14:textId="77777777" w:rsidTr="029525AA">
        <w:trPr>
          <w:cantSplit/>
          <w:trHeight w:val="288"/>
          <w:jc w:val="center"/>
        </w:trPr>
        <w:tc>
          <w:tcPr>
            <w:tcW w:w="447" w:type="dxa"/>
            <w:tcMar>
              <w:left w:w="0" w:type="dxa"/>
              <w:right w:w="0" w:type="dxa"/>
            </w:tcMar>
            <w:vAlign w:val="center"/>
          </w:tcPr>
          <w:p w14:paraId="1B65A777" w14:textId="220E5855" w:rsidR="00B05C5E" w:rsidRPr="004C5131" w:rsidRDefault="56ACD58B" w:rsidP="56ACD58B">
            <w:pPr>
              <w:ind w:left="0"/>
              <w:jc w:val="center"/>
              <w:rPr>
                <w:highlight w:val="yellow"/>
              </w:rPr>
            </w:pPr>
            <w:r>
              <w:t>2</w:t>
            </w:r>
            <w:r w:rsidR="00A03146">
              <w:t>9</w:t>
            </w:r>
          </w:p>
        </w:tc>
        <w:tc>
          <w:tcPr>
            <w:tcW w:w="6390" w:type="dxa"/>
            <w:vAlign w:val="bottom"/>
          </w:tcPr>
          <w:p w14:paraId="25D65068" w14:textId="184D5B44" w:rsidR="00B05C5E" w:rsidRPr="00D90D2A" w:rsidRDefault="007031A5" w:rsidP="00B05C5E">
            <w:pPr>
              <w:ind w:left="0"/>
              <w:rPr>
                <w:bCs/>
              </w:rPr>
            </w:pPr>
            <w:r>
              <w:rPr>
                <w:bCs/>
              </w:rPr>
              <w:t>Ohio Valley University</w:t>
            </w:r>
            <w:r w:rsidR="00744741">
              <w:rPr>
                <w:bCs/>
              </w:rPr>
              <w:t xml:space="preserve"> Granted  </w:t>
            </w:r>
          </w:p>
        </w:tc>
        <w:tc>
          <w:tcPr>
            <w:tcW w:w="2533" w:type="dxa"/>
            <w:vAlign w:val="center"/>
          </w:tcPr>
          <w:p w14:paraId="29D766E5" w14:textId="0422AEED" w:rsidR="00B05C5E" w:rsidRDefault="008960BF" w:rsidP="00B05C5E">
            <w:pPr>
              <w:ind w:left="0"/>
            </w:pPr>
            <w:r>
              <w:t>Collins</w:t>
            </w:r>
          </w:p>
        </w:tc>
      </w:tr>
      <w:tr w:rsidR="003F2CF0" w:rsidRPr="00EF4879" w14:paraId="36285426" w14:textId="77777777" w:rsidTr="029525AA">
        <w:trPr>
          <w:cantSplit/>
          <w:trHeight w:val="288"/>
          <w:jc w:val="center"/>
        </w:trPr>
        <w:tc>
          <w:tcPr>
            <w:tcW w:w="447" w:type="dxa"/>
            <w:tcMar>
              <w:left w:w="0" w:type="dxa"/>
              <w:right w:w="0" w:type="dxa"/>
            </w:tcMar>
            <w:vAlign w:val="center"/>
          </w:tcPr>
          <w:p w14:paraId="1436B158" w14:textId="25AD6CC5" w:rsidR="003F2CF0" w:rsidRDefault="00A03146" w:rsidP="00B05C5E">
            <w:pPr>
              <w:ind w:left="0"/>
              <w:jc w:val="center"/>
            </w:pPr>
            <w:r>
              <w:t>30</w:t>
            </w:r>
          </w:p>
        </w:tc>
        <w:tc>
          <w:tcPr>
            <w:tcW w:w="6390" w:type="dxa"/>
            <w:vAlign w:val="bottom"/>
          </w:tcPr>
          <w:p w14:paraId="113E34B8" w14:textId="41E9AED3" w:rsidR="003F2CF0" w:rsidRDefault="00613747" w:rsidP="00B05C5E">
            <w:pPr>
              <w:ind w:left="0"/>
            </w:pPr>
            <w:r>
              <w:t>Seton Hill University</w:t>
            </w:r>
            <w:r w:rsidR="00587C61">
              <w:t xml:space="preserve"> </w:t>
            </w:r>
            <w:r w:rsidR="00EB6031">
              <w:t>G</w:t>
            </w:r>
            <w:r w:rsidR="00587C61">
              <w:t>ranted</w:t>
            </w:r>
          </w:p>
        </w:tc>
        <w:tc>
          <w:tcPr>
            <w:tcW w:w="2533" w:type="dxa"/>
            <w:vAlign w:val="center"/>
          </w:tcPr>
          <w:p w14:paraId="1A792FB8" w14:textId="4EFC18A4" w:rsidR="003F2CF0" w:rsidRDefault="00E767E0" w:rsidP="00B05C5E">
            <w:pPr>
              <w:ind w:left="0"/>
            </w:pPr>
            <w:r>
              <w:t>Collins</w:t>
            </w:r>
          </w:p>
        </w:tc>
      </w:tr>
      <w:tr w:rsidR="00E9535C" w:rsidRPr="00EF4879" w14:paraId="781BBB2F" w14:textId="77777777" w:rsidTr="029525AA">
        <w:trPr>
          <w:cantSplit/>
          <w:trHeight w:val="288"/>
          <w:jc w:val="center"/>
        </w:trPr>
        <w:tc>
          <w:tcPr>
            <w:tcW w:w="447" w:type="dxa"/>
            <w:tcMar>
              <w:left w:w="0" w:type="dxa"/>
              <w:right w:w="0" w:type="dxa"/>
            </w:tcMar>
            <w:vAlign w:val="center"/>
          </w:tcPr>
          <w:p w14:paraId="104E46C9" w14:textId="74F99C87" w:rsidR="00E9535C" w:rsidRPr="004C5131" w:rsidRDefault="00AC40AA" w:rsidP="00B05C5E">
            <w:pPr>
              <w:ind w:left="0"/>
              <w:jc w:val="center"/>
            </w:pPr>
            <w:r>
              <w:t>3</w:t>
            </w:r>
            <w:r w:rsidR="00A03146">
              <w:t>1</w:t>
            </w:r>
          </w:p>
        </w:tc>
        <w:tc>
          <w:tcPr>
            <w:tcW w:w="6390" w:type="dxa"/>
            <w:vAlign w:val="bottom"/>
          </w:tcPr>
          <w:p w14:paraId="25FE367F" w14:textId="2C90E33D" w:rsidR="00E9535C" w:rsidRDefault="00613747" w:rsidP="00B05C5E">
            <w:pPr>
              <w:ind w:left="0"/>
            </w:pPr>
            <w:r>
              <w:t>University of Sioux Falls</w:t>
            </w:r>
            <w:r w:rsidR="00587C61">
              <w:t xml:space="preserve"> </w:t>
            </w:r>
            <w:r w:rsidR="00EB6031">
              <w:t>G</w:t>
            </w:r>
            <w:r w:rsidR="00587C61">
              <w:t>ranted</w:t>
            </w:r>
          </w:p>
        </w:tc>
        <w:tc>
          <w:tcPr>
            <w:tcW w:w="2533" w:type="dxa"/>
            <w:vAlign w:val="center"/>
          </w:tcPr>
          <w:p w14:paraId="247D5B13" w14:textId="12A7BCB2" w:rsidR="00E9535C" w:rsidRDefault="00E9535C" w:rsidP="00B05C5E">
            <w:pPr>
              <w:ind w:left="0"/>
            </w:pPr>
            <w:r>
              <w:t>Collins</w:t>
            </w:r>
          </w:p>
        </w:tc>
      </w:tr>
      <w:tr w:rsidR="00B05C5E" w:rsidRPr="00EF4879" w14:paraId="5221E6C5" w14:textId="77777777" w:rsidTr="029525AA">
        <w:trPr>
          <w:cantSplit/>
          <w:trHeight w:val="288"/>
          <w:jc w:val="center"/>
        </w:trPr>
        <w:tc>
          <w:tcPr>
            <w:tcW w:w="447" w:type="dxa"/>
            <w:tcMar>
              <w:left w:w="0" w:type="dxa"/>
              <w:right w:w="0" w:type="dxa"/>
            </w:tcMar>
            <w:vAlign w:val="center"/>
          </w:tcPr>
          <w:p w14:paraId="13478FEB" w14:textId="77777777" w:rsidR="00B05C5E" w:rsidRPr="00871B7B" w:rsidRDefault="00B05C5E" w:rsidP="00B05C5E">
            <w:pPr>
              <w:ind w:left="0"/>
              <w:jc w:val="center"/>
            </w:pPr>
          </w:p>
        </w:tc>
        <w:tc>
          <w:tcPr>
            <w:tcW w:w="6390" w:type="dxa"/>
            <w:vAlign w:val="center"/>
          </w:tcPr>
          <w:p w14:paraId="3B68E0EB" w14:textId="2DF1CD90" w:rsidR="00B05C5E" w:rsidRPr="00B05C5E" w:rsidRDefault="00B05C5E" w:rsidP="00871B7B">
            <w:pPr>
              <w:ind w:left="0"/>
              <w:jc w:val="center"/>
              <w:rPr>
                <w:i/>
              </w:rPr>
            </w:pPr>
            <w:r w:rsidRPr="00B05C5E">
              <w:rPr>
                <w:i/>
              </w:rPr>
              <w:t>Extension of Deadline for BOC Notes</w:t>
            </w:r>
            <w:r w:rsidR="004C5131">
              <w:rPr>
                <w:i/>
              </w:rPr>
              <w:t>-None</w:t>
            </w:r>
          </w:p>
        </w:tc>
        <w:tc>
          <w:tcPr>
            <w:tcW w:w="2533" w:type="dxa"/>
            <w:vAlign w:val="center"/>
          </w:tcPr>
          <w:p w14:paraId="41897A34" w14:textId="77777777" w:rsidR="00B05C5E" w:rsidRDefault="00B05C5E" w:rsidP="00B05C5E">
            <w:pPr>
              <w:ind w:left="0"/>
            </w:pPr>
          </w:p>
        </w:tc>
      </w:tr>
      <w:tr w:rsidR="00B05C5E" w:rsidRPr="00EF4879" w14:paraId="66FA721F" w14:textId="77777777" w:rsidTr="029525AA">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139560BF" w14:textId="4092529A" w:rsidR="00B05C5E" w:rsidRPr="00FC06F7" w:rsidRDefault="004B181E" w:rsidP="00B05C5E">
            <w:pPr>
              <w:ind w:left="0"/>
              <w:jc w:val="center"/>
              <w:rPr>
                <w:b/>
                <w:bCs/>
              </w:rPr>
            </w:pPr>
            <w:r>
              <w:rPr>
                <w:b/>
                <w:bCs/>
              </w:rPr>
              <w:lastRenderedPageBreak/>
              <w:t>K</w:t>
            </w:r>
          </w:p>
        </w:tc>
        <w:tc>
          <w:tcPr>
            <w:tcW w:w="8923" w:type="dxa"/>
            <w:gridSpan w:val="2"/>
            <w:shd w:val="clear" w:color="auto" w:fill="DBE5F1" w:themeFill="accent1" w:themeFillTint="33"/>
            <w:tcMar>
              <w:top w:w="0" w:type="dxa"/>
              <w:bottom w:w="0" w:type="dxa"/>
            </w:tcMar>
            <w:vAlign w:val="center"/>
          </w:tcPr>
          <w:p w14:paraId="64AD49F0" w14:textId="7A67BB45" w:rsidR="00B05C5E" w:rsidRPr="00EF4879" w:rsidRDefault="00B05C5E" w:rsidP="00B05C5E">
            <w:pPr>
              <w:ind w:left="0"/>
              <w:jc w:val="center"/>
            </w:pPr>
            <w:r w:rsidRPr="3F2FABD2">
              <w:rPr>
                <w:b/>
                <w:bCs/>
              </w:rPr>
              <w:t>OTHER BUSINESS</w:t>
            </w:r>
          </w:p>
        </w:tc>
      </w:tr>
      <w:tr w:rsidR="003C13D0" w:rsidRPr="00EF4879" w14:paraId="0D4CD6CA" w14:textId="77777777" w:rsidTr="029525AA">
        <w:trPr>
          <w:cantSplit/>
          <w:trHeight w:val="288"/>
          <w:jc w:val="center"/>
        </w:trPr>
        <w:tc>
          <w:tcPr>
            <w:tcW w:w="447" w:type="dxa"/>
            <w:tcMar>
              <w:left w:w="0" w:type="dxa"/>
              <w:right w:w="0" w:type="dxa"/>
            </w:tcMar>
            <w:vAlign w:val="center"/>
          </w:tcPr>
          <w:p w14:paraId="30F90BB8" w14:textId="6948CB40" w:rsidR="003C13D0" w:rsidRPr="003C13D0" w:rsidRDefault="00AC40AA" w:rsidP="003C13D0">
            <w:pPr>
              <w:spacing w:line="259" w:lineRule="auto"/>
              <w:ind w:left="0"/>
              <w:jc w:val="center"/>
            </w:pPr>
            <w:r>
              <w:t>3</w:t>
            </w:r>
            <w:r w:rsidR="00A03146">
              <w:t>2</w:t>
            </w:r>
          </w:p>
        </w:tc>
        <w:tc>
          <w:tcPr>
            <w:tcW w:w="6390" w:type="dxa"/>
            <w:vAlign w:val="center"/>
          </w:tcPr>
          <w:p w14:paraId="40DF0359" w14:textId="77777777" w:rsidR="008D19DF" w:rsidRDefault="003C13D0" w:rsidP="008D19DF">
            <w:pPr>
              <w:ind w:left="0"/>
            </w:pPr>
            <w:r w:rsidRPr="00D90D2A">
              <w:t>Decision Review</w:t>
            </w:r>
            <w:r w:rsidR="00E74FAC">
              <w:t xml:space="preserve"> completed. </w:t>
            </w:r>
            <w:r w:rsidR="006C73D1">
              <w:t xml:space="preserve"> </w:t>
            </w:r>
            <w:r w:rsidR="008D19DF">
              <w:t>The commissioners reviewed their accreditation decisions using a grid showing the distribution of notes and observations both vertically (across principles) and horizontally (across institutions) to help ensure consistency of their decisions.</w:t>
            </w:r>
          </w:p>
          <w:p w14:paraId="38FAC862" w14:textId="34528C28" w:rsidR="008D19DF" w:rsidRDefault="008D19DF" w:rsidP="008D19DF">
            <w:pPr>
              <w:ind w:left="0"/>
            </w:pPr>
            <w:r>
              <w:t>After review, the commissioners found their decisions to be fair, balanced, and consistent.</w:t>
            </w:r>
            <w:r>
              <w:t xml:space="preserve"> 1</w:t>
            </w:r>
            <w:bookmarkStart w:id="1" w:name="_GoBack"/>
            <w:bookmarkEnd w:id="1"/>
            <w:r>
              <w:t xml:space="preserve">It was moved and seconded to accept their decisions as originally determined. </w:t>
            </w:r>
          </w:p>
          <w:p w14:paraId="5D43605E" w14:textId="7B2AC256" w:rsidR="003C13D0" w:rsidRPr="00D90D2A" w:rsidRDefault="006C73D1" w:rsidP="008D19DF">
            <w:pPr>
              <w:ind w:left="0"/>
            </w:pPr>
            <w:r>
              <w:t>Motion to approv</w:t>
            </w:r>
            <w:r w:rsidR="007A473A">
              <w:t>e</w:t>
            </w:r>
            <w:r>
              <w:t>. Second. Carried.</w:t>
            </w:r>
          </w:p>
        </w:tc>
        <w:tc>
          <w:tcPr>
            <w:tcW w:w="2533" w:type="dxa"/>
          </w:tcPr>
          <w:p w14:paraId="7CD4DDC5" w14:textId="4F9345D7" w:rsidR="003C13D0" w:rsidRPr="00EF4879" w:rsidRDefault="003C13D0" w:rsidP="003C13D0">
            <w:pPr>
              <w:ind w:left="0"/>
            </w:pPr>
            <w:r w:rsidRPr="00C57498">
              <w:t>Collins</w:t>
            </w:r>
          </w:p>
        </w:tc>
      </w:tr>
      <w:tr w:rsidR="003C13D0" w:rsidRPr="00EF4879" w14:paraId="622D056B" w14:textId="77777777" w:rsidTr="029525AA">
        <w:trPr>
          <w:cantSplit/>
          <w:trHeight w:val="288"/>
          <w:jc w:val="center"/>
        </w:trPr>
        <w:tc>
          <w:tcPr>
            <w:tcW w:w="447" w:type="dxa"/>
            <w:tcMar>
              <w:left w:w="0" w:type="dxa"/>
              <w:right w:w="0" w:type="dxa"/>
            </w:tcMar>
            <w:vAlign w:val="center"/>
          </w:tcPr>
          <w:p w14:paraId="57D8BF8D" w14:textId="25CCBF77" w:rsidR="003C13D0" w:rsidRPr="003C13D0" w:rsidRDefault="00AC40AA" w:rsidP="003C13D0">
            <w:pPr>
              <w:ind w:left="0"/>
              <w:jc w:val="center"/>
            </w:pPr>
            <w:r>
              <w:t>3</w:t>
            </w:r>
            <w:r w:rsidR="00A03146">
              <w:t>3</w:t>
            </w:r>
          </w:p>
        </w:tc>
        <w:tc>
          <w:tcPr>
            <w:tcW w:w="6390" w:type="dxa"/>
            <w:vAlign w:val="center"/>
          </w:tcPr>
          <w:p w14:paraId="00623A1A" w14:textId="77777777" w:rsidR="007A473A" w:rsidRDefault="003C13D0" w:rsidP="003C13D0">
            <w:pPr>
              <w:ind w:left="0"/>
            </w:pPr>
            <w:r w:rsidRPr="00D90D2A">
              <w:t>Post-Review Evaluation of BOC Policies and Procedures</w:t>
            </w:r>
            <w:r w:rsidR="00262678">
              <w:t>:</w:t>
            </w:r>
          </w:p>
          <w:p w14:paraId="419DCB66" w14:textId="77777777" w:rsidR="007A473A" w:rsidRDefault="007A473A" w:rsidP="007A473A">
            <w:pPr>
              <w:pStyle w:val="Default"/>
              <w:rPr>
                <w:sz w:val="22"/>
                <w:szCs w:val="22"/>
              </w:rPr>
            </w:pPr>
            <w:r>
              <w:rPr>
                <w:sz w:val="22"/>
                <w:szCs w:val="22"/>
              </w:rPr>
              <w:t xml:space="preserve">The commissioners reviewed their accreditation decisions using a grid showing the distribution of notes and observations both vertically (across principles) and horizontally (across institutions) to help ensure consistency of their decisions. </w:t>
            </w:r>
          </w:p>
          <w:p w14:paraId="5D90D2E8" w14:textId="77777777" w:rsidR="007A473A" w:rsidRDefault="007A473A" w:rsidP="007A473A">
            <w:pPr>
              <w:pStyle w:val="Default"/>
              <w:rPr>
                <w:sz w:val="22"/>
                <w:szCs w:val="22"/>
              </w:rPr>
            </w:pPr>
            <w:r>
              <w:rPr>
                <w:sz w:val="22"/>
                <w:szCs w:val="22"/>
              </w:rPr>
              <w:t>After review, the commissioners found their decisions to be fair, balanced, and consistent.</w:t>
            </w:r>
          </w:p>
          <w:p w14:paraId="7F7C689C" w14:textId="77777777" w:rsidR="007A473A" w:rsidRDefault="007A473A" w:rsidP="003C13D0">
            <w:pPr>
              <w:ind w:left="0"/>
            </w:pPr>
          </w:p>
          <w:p w14:paraId="44421B9B" w14:textId="24B0F2ED" w:rsidR="006C73D1" w:rsidRDefault="00262678" w:rsidP="003C13D0">
            <w:pPr>
              <w:ind w:left="0"/>
            </w:pPr>
            <w:r>
              <w:t xml:space="preserve"> </w:t>
            </w:r>
            <w:r w:rsidR="007A473A">
              <w:t xml:space="preserve">Discussion </w:t>
            </w:r>
            <w:r>
              <w:t xml:space="preserve">noted more on 1.1 this time than last few meetings. </w:t>
            </w:r>
          </w:p>
          <w:p w14:paraId="1DF9525E" w14:textId="4C8D4EC8" w:rsidR="003C13D0" w:rsidRDefault="00262678" w:rsidP="006C73D1">
            <w:pPr>
              <w:pStyle w:val="ListParagraph"/>
              <w:numPr>
                <w:ilvl w:val="0"/>
                <w:numId w:val="10"/>
              </w:numPr>
            </w:pPr>
            <w:r w:rsidRPr="00E74FAC">
              <w:t>Staff to see how to address if this is a trend and see if notes are on the same area.</w:t>
            </w:r>
            <w:r>
              <w:t xml:space="preserve">  Also need better system for making sure all docs are uploaded for BOC and are in proper format</w:t>
            </w:r>
          </w:p>
          <w:p w14:paraId="0A6D8E6E" w14:textId="51603FCB" w:rsidR="00D72F5A" w:rsidRDefault="00D72F5A" w:rsidP="006C73D1">
            <w:pPr>
              <w:pStyle w:val="ListParagraph"/>
              <w:numPr>
                <w:ilvl w:val="0"/>
                <w:numId w:val="10"/>
              </w:numPr>
            </w:pPr>
            <w:r>
              <w:t xml:space="preserve">Request OAP has all appendices in the OAP as one doc and not separate files/folders. </w:t>
            </w:r>
          </w:p>
          <w:p w14:paraId="317CFC66" w14:textId="77777777" w:rsidR="006C73D1" w:rsidRDefault="006C73D1" w:rsidP="006C73D1">
            <w:pPr>
              <w:pStyle w:val="ListParagraph"/>
              <w:numPr>
                <w:ilvl w:val="0"/>
                <w:numId w:val="10"/>
              </w:numPr>
            </w:pPr>
            <w:r>
              <w:t>Need BOC full review form for new principles updated for Dec. schools (staff to complete)</w:t>
            </w:r>
          </w:p>
          <w:p w14:paraId="602FAF52" w14:textId="77777777" w:rsidR="006C73D1" w:rsidRDefault="006C73D1" w:rsidP="006C73D1">
            <w:pPr>
              <w:pStyle w:val="ListParagraph"/>
              <w:numPr>
                <w:ilvl w:val="0"/>
                <w:numId w:val="10"/>
              </w:numPr>
            </w:pPr>
            <w:r>
              <w:t xml:space="preserve">New Programs: </w:t>
            </w:r>
            <w:r w:rsidR="005546CB">
              <w:t xml:space="preserve">Motion: </w:t>
            </w:r>
            <w:r>
              <w:t>general rule is no visit required (even if at new level) unless staff sees a need.</w:t>
            </w:r>
            <w:r w:rsidR="005546CB">
              <w:t xml:space="preserve">  If visit needed, virtual visit is default. Second.  Carried.</w:t>
            </w:r>
            <w:r w:rsidR="00460FDD">
              <w:t xml:space="preserve"> (</w:t>
            </w:r>
            <w:r w:rsidR="00460FDD" w:rsidRPr="00E74FAC">
              <w:t>note: Framingham does not require a</w:t>
            </w:r>
            <w:r w:rsidR="00E74FAC">
              <w:t xml:space="preserve"> physical</w:t>
            </w:r>
            <w:r w:rsidR="00460FDD" w:rsidRPr="00E74FAC">
              <w:t xml:space="preserve"> visit under this new policy</w:t>
            </w:r>
            <w:r w:rsidR="00460FDD">
              <w:t>)</w:t>
            </w:r>
          </w:p>
          <w:p w14:paraId="31395898" w14:textId="290EF214" w:rsidR="007A473A" w:rsidRPr="00D90D2A" w:rsidRDefault="007A473A" w:rsidP="007A473A">
            <w:pPr>
              <w:pStyle w:val="Default"/>
            </w:pPr>
            <w:r>
              <w:rPr>
                <w:sz w:val="22"/>
                <w:szCs w:val="22"/>
              </w:rPr>
              <w:t xml:space="preserve">It was moved and seconded to accept their decisions as originally determined.  </w:t>
            </w:r>
            <w:r>
              <w:t>Motion passed.</w:t>
            </w:r>
          </w:p>
        </w:tc>
        <w:tc>
          <w:tcPr>
            <w:tcW w:w="2533" w:type="dxa"/>
          </w:tcPr>
          <w:p w14:paraId="000886EE" w14:textId="5B0FEAEE" w:rsidR="003C13D0" w:rsidRPr="00EF4879" w:rsidRDefault="003C13D0" w:rsidP="003C13D0">
            <w:pPr>
              <w:ind w:left="0"/>
            </w:pPr>
            <w:r w:rsidRPr="00C57498">
              <w:t>Collins</w:t>
            </w:r>
          </w:p>
        </w:tc>
      </w:tr>
      <w:tr w:rsidR="003C13D0" w:rsidRPr="00EF4879" w14:paraId="269D32ED" w14:textId="77777777" w:rsidTr="029525AA">
        <w:trPr>
          <w:cantSplit/>
          <w:trHeight w:val="288"/>
          <w:jc w:val="center"/>
        </w:trPr>
        <w:tc>
          <w:tcPr>
            <w:tcW w:w="447" w:type="dxa"/>
            <w:tcMar>
              <w:left w:w="0" w:type="dxa"/>
              <w:right w:w="0" w:type="dxa"/>
            </w:tcMar>
            <w:vAlign w:val="center"/>
          </w:tcPr>
          <w:p w14:paraId="27DB3BCB" w14:textId="5A6CF44A" w:rsidR="003C13D0" w:rsidRPr="003C13D0" w:rsidRDefault="00AC40AA" w:rsidP="003C13D0">
            <w:pPr>
              <w:ind w:left="0"/>
              <w:jc w:val="center"/>
            </w:pPr>
            <w:r>
              <w:t>3</w:t>
            </w:r>
            <w:r w:rsidR="00A03146">
              <w:t>4</w:t>
            </w:r>
          </w:p>
        </w:tc>
        <w:tc>
          <w:tcPr>
            <w:tcW w:w="6390" w:type="dxa"/>
            <w:vAlign w:val="center"/>
          </w:tcPr>
          <w:p w14:paraId="2091AD8B" w14:textId="02A964B2" w:rsidR="003C13D0" w:rsidRPr="00D90D2A" w:rsidRDefault="003C13D0" w:rsidP="003C13D0">
            <w:pPr>
              <w:ind w:left="0"/>
            </w:pPr>
            <w:r>
              <w:t>New board member plans</w:t>
            </w:r>
            <w:r w:rsidR="00290E1C">
              <w:t xml:space="preserve"> (current opening and upcoming in 2020)</w:t>
            </w:r>
            <w:r w:rsidR="006F47D2">
              <w:t>: Reviewed list of potential candidates and discussed preferences.  Staff encouraged to utilize these as site visitors where possible to gain experience and prepare them for possible BOC role.  Chair to send list to office staff for additional input.</w:t>
            </w:r>
          </w:p>
        </w:tc>
        <w:tc>
          <w:tcPr>
            <w:tcW w:w="2533" w:type="dxa"/>
          </w:tcPr>
          <w:p w14:paraId="0FBB7C53" w14:textId="21527BB5" w:rsidR="003C13D0" w:rsidRDefault="007031A5" w:rsidP="003C13D0">
            <w:pPr>
              <w:ind w:left="0"/>
            </w:pPr>
            <w:r>
              <w:t>Hafford</w:t>
            </w:r>
          </w:p>
        </w:tc>
      </w:tr>
      <w:tr w:rsidR="003C13D0" w:rsidRPr="00EF4879" w14:paraId="35478AA5" w14:textId="77777777" w:rsidTr="029525AA">
        <w:trPr>
          <w:cantSplit/>
          <w:trHeight w:val="288"/>
          <w:jc w:val="center"/>
        </w:trPr>
        <w:tc>
          <w:tcPr>
            <w:tcW w:w="447" w:type="dxa"/>
            <w:tcMar>
              <w:left w:w="0" w:type="dxa"/>
              <w:right w:w="0" w:type="dxa"/>
            </w:tcMar>
            <w:vAlign w:val="center"/>
          </w:tcPr>
          <w:p w14:paraId="687D3BBD" w14:textId="7C60EC6B" w:rsidR="003C13D0" w:rsidRPr="003C13D0" w:rsidRDefault="00AC40AA" w:rsidP="003C13D0">
            <w:pPr>
              <w:ind w:left="0"/>
              <w:jc w:val="center"/>
            </w:pPr>
            <w:r>
              <w:t>3</w:t>
            </w:r>
            <w:r w:rsidR="00A03146">
              <w:t>5</w:t>
            </w:r>
          </w:p>
        </w:tc>
        <w:tc>
          <w:tcPr>
            <w:tcW w:w="6390" w:type="dxa"/>
            <w:vAlign w:val="center"/>
          </w:tcPr>
          <w:p w14:paraId="141A956F" w14:textId="77777777" w:rsidR="001C2435" w:rsidRDefault="00290E1C" w:rsidP="003C13D0">
            <w:pPr>
              <w:ind w:left="0"/>
            </w:pPr>
            <w:r>
              <w:t>Upcoming site visits 2020-22 schedule</w:t>
            </w:r>
            <w:r w:rsidR="00DC382E">
              <w:t xml:space="preserve">:  </w:t>
            </w:r>
          </w:p>
          <w:p w14:paraId="0686FD8D" w14:textId="4CA5C298" w:rsidR="003C13D0" w:rsidRDefault="00DC382E" w:rsidP="001C2435">
            <w:pPr>
              <w:pStyle w:val="ListParagraph"/>
              <w:numPr>
                <w:ilvl w:val="0"/>
                <w:numId w:val="11"/>
              </w:numPr>
            </w:pPr>
            <w:r>
              <w:t>Will require face-to-face in both July and December 2020</w:t>
            </w:r>
            <w:r w:rsidR="001C2435">
              <w:t xml:space="preserve"> due to number of schools.</w:t>
            </w:r>
            <w:r>
              <w:t xml:space="preserve"> Chair to work with </w:t>
            </w:r>
            <w:r w:rsidR="001C2435">
              <w:t>BOD to budget for this.</w:t>
            </w:r>
          </w:p>
          <w:p w14:paraId="2769C310" w14:textId="3B7D1C23" w:rsidR="001C2435" w:rsidRPr="00D90D2A" w:rsidRDefault="001C2435" w:rsidP="001C2435">
            <w:pPr>
              <w:pStyle w:val="ListParagraph"/>
              <w:numPr>
                <w:ilvl w:val="0"/>
                <w:numId w:val="11"/>
              </w:numPr>
            </w:pPr>
            <w:r>
              <w:t>Discussion re: consider 2 longer yearly meetings instead of 3 shorter ones currently in place (e.g. January and July 2021). Staff to give feedback to BOC.</w:t>
            </w:r>
          </w:p>
        </w:tc>
        <w:tc>
          <w:tcPr>
            <w:tcW w:w="2533" w:type="dxa"/>
          </w:tcPr>
          <w:p w14:paraId="1F6D0AE4" w14:textId="38926FAD" w:rsidR="003C13D0" w:rsidRDefault="003C13D0" w:rsidP="003C13D0">
            <w:pPr>
              <w:ind w:left="0"/>
            </w:pPr>
            <w:r w:rsidRPr="00C57498">
              <w:t>Collins</w:t>
            </w:r>
          </w:p>
        </w:tc>
      </w:tr>
      <w:tr w:rsidR="00C04491" w:rsidRPr="00EF4879" w14:paraId="49875EDB" w14:textId="77777777" w:rsidTr="029525AA">
        <w:trPr>
          <w:cantSplit/>
          <w:trHeight w:val="288"/>
          <w:jc w:val="center"/>
        </w:trPr>
        <w:tc>
          <w:tcPr>
            <w:tcW w:w="447" w:type="dxa"/>
            <w:tcMar>
              <w:left w:w="0" w:type="dxa"/>
              <w:right w:w="0" w:type="dxa"/>
            </w:tcMar>
            <w:vAlign w:val="center"/>
          </w:tcPr>
          <w:p w14:paraId="5D432B3C" w14:textId="0DF99F12" w:rsidR="00C04491" w:rsidRPr="003C13D0" w:rsidRDefault="00AC40AA" w:rsidP="00C04491">
            <w:pPr>
              <w:ind w:left="0"/>
              <w:jc w:val="center"/>
            </w:pPr>
            <w:r>
              <w:t>3</w:t>
            </w:r>
            <w:r w:rsidR="00A03146">
              <w:t>6</w:t>
            </w:r>
          </w:p>
        </w:tc>
        <w:tc>
          <w:tcPr>
            <w:tcW w:w="6390" w:type="dxa"/>
            <w:vAlign w:val="center"/>
          </w:tcPr>
          <w:p w14:paraId="74DE7CDA" w14:textId="3E1F06E1" w:rsidR="00C04491" w:rsidRPr="00D90D2A" w:rsidRDefault="00C04491" w:rsidP="00C04491">
            <w:pPr>
              <w:ind w:left="0"/>
            </w:pPr>
            <w:r w:rsidRPr="00D90D2A">
              <w:t xml:space="preserve">Review Policies and Procedures for New </w:t>
            </w:r>
            <w:r w:rsidR="003C13D0">
              <w:t>Program Accreditation</w:t>
            </w:r>
            <w:r w:rsidR="001C2435">
              <w:t>. See notes above #33.</w:t>
            </w:r>
          </w:p>
        </w:tc>
        <w:tc>
          <w:tcPr>
            <w:tcW w:w="2533" w:type="dxa"/>
            <w:vAlign w:val="center"/>
          </w:tcPr>
          <w:p w14:paraId="1668B228" w14:textId="196178A1" w:rsidR="00C04491" w:rsidRDefault="003C13D0" w:rsidP="00C04491">
            <w:pPr>
              <w:ind w:left="0"/>
            </w:pPr>
            <w:r>
              <w:t>Collins</w:t>
            </w:r>
          </w:p>
        </w:tc>
      </w:tr>
      <w:tr w:rsidR="003E1839" w:rsidRPr="00EF4879" w14:paraId="5A21C039" w14:textId="77777777" w:rsidTr="029525AA">
        <w:trPr>
          <w:cantSplit/>
          <w:trHeight w:val="288"/>
          <w:jc w:val="center"/>
        </w:trPr>
        <w:tc>
          <w:tcPr>
            <w:tcW w:w="447" w:type="dxa"/>
            <w:tcMar>
              <w:left w:w="0" w:type="dxa"/>
              <w:right w:w="0" w:type="dxa"/>
            </w:tcMar>
          </w:tcPr>
          <w:p w14:paraId="431D664D" w14:textId="1C867780" w:rsidR="003E1839" w:rsidRPr="003C13D0" w:rsidRDefault="00AC40AA" w:rsidP="003E1839">
            <w:pPr>
              <w:ind w:left="0"/>
              <w:jc w:val="center"/>
            </w:pPr>
            <w:r>
              <w:lastRenderedPageBreak/>
              <w:t>3</w:t>
            </w:r>
            <w:r w:rsidR="00A03146">
              <w:t>7</w:t>
            </w:r>
          </w:p>
        </w:tc>
        <w:tc>
          <w:tcPr>
            <w:tcW w:w="6390" w:type="dxa"/>
            <w:vAlign w:val="center"/>
          </w:tcPr>
          <w:p w14:paraId="59EA60A7" w14:textId="347DB133" w:rsidR="003E1839" w:rsidRPr="00D90D2A" w:rsidRDefault="003E1839" w:rsidP="003E1839">
            <w:pPr>
              <w:ind w:left="0"/>
            </w:pPr>
            <w:r w:rsidRPr="00D90D2A">
              <w:t>Public Disclosure Compliance Report</w:t>
            </w:r>
            <w:r w:rsidR="00E74FAC">
              <w:t>:</w:t>
            </w:r>
            <w:r w:rsidR="00440525">
              <w:t xml:space="preserve"> </w:t>
            </w:r>
            <w:r w:rsidR="00E74FAC">
              <w:t>S</w:t>
            </w:r>
            <w:r w:rsidR="00440525">
              <w:t>ee motion on attachment.</w:t>
            </w:r>
          </w:p>
        </w:tc>
        <w:tc>
          <w:tcPr>
            <w:tcW w:w="2533" w:type="dxa"/>
          </w:tcPr>
          <w:p w14:paraId="0F8AC7DA" w14:textId="1685B558" w:rsidR="003E1839" w:rsidRDefault="003C13D0" w:rsidP="003E1839">
            <w:pPr>
              <w:ind w:left="0"/>
            </w:pPr>
            <w:r>
              <w:t>Collins</w:t>
            </w:r>
          </w:p>
        </w:tc>
      </w:tr>
      <w:tr w:rsidR="003E1839" w:rsidRPr="00EF4879" w14:paraId="37B14230" w14:textId="77777777" w:rsidTr="029525AA">
        <w:trPr>
          <w:cantSplit/>
          <w:trHeight w:val="288"/>
          <w:jc w:val="center"/>
        </w:trPr>
        <w:tc>
          <w:tcPr>
            <w:tcW w:w="447" w:type="dxa"/>
            <w:tcMar>
              <w:left w:w="0" w:type="dxa"/>
              <w:right w:w="0" w:type="dxa"/>
            </w:tcMar>
          </w:tcPr>
          <w:p w14:paraId="5BD8363A" w14:textId="263F4D1F" w:rsidR="003E1839" w:rsidRPr="003C13D0" w:rsidRDefault="00AC40AA" w:rsidP="56ACD58B">
            <w:pPr>
              <w:spacing w:line="259" w:lineRule="auto"/>
              <w:ind w:left="0"/>
              <w:jc w:val="center"/>
            </w:pPr>
            <w:r>
              <w:t>3</w:t>
            </w:r>
            <w:r w:rsidR="00A03146">
              <w:t>8</w:t>
            </w:r>
          </w:p>
        </w:tc>
        <w:tc>
          <w:tcPr>
            <w:tcW w:w="6390" w:type="dxa"/>
            <w:vAlign w:val="center"/>
          </w:tcPr>
          <w:p w14:paraId="10A54203" w14:textId="5503B231" w:rsidR="003E1839" w:rsidRPr="00D90D2A" w:rsidRDefault="003E1839" w:rsidP="003E1839">
            <w:pPr>
              <w:ind w:left="0"/>
              <w:rPr>
                <w:bCs/>
              </w:rPr>
            </w:pPr>
            <w:r w:rsidRPr="00D90D2A">
              <w:t>Note Compliance Report</w:t>
            </w:r>
            <w:r w:rsidR="00460FDD">
              <w:t>: Action taken on RIMS to suspend</w:t>
            </w:r>
            <w:r w:rsidR="00494C6C">
              <w:t>.</w:t>
            </w:r>
            <w:r w:rsidR="00440525">
              <w:t xml:space="preserve"> Motion: Any remaining that are not cleared by August 31 are moved to probation. Second. Carried.</w:t>
            </w:r>
          </w:p>
        </w:tc>
        <w:tc>
          <w:tcPr>
            <w:tcW w:w="2533" w:type="dxa"/>
          </w:tcPr>
          <w:p w14:paraId="2EE238FE" w14:textId="51EA1B37" w:rsidR="003E1839" w:rsidRDefault="003C13D0" w:rsidP="003E1839">
            <w:pPr>
              <w:ind w:left="0"/>
            </w:pPr>
            <w:r>
              <w:t>Collins</w:t>
            </w:r>
          </w:p>
        </w:tc>
      </w:tr>
      <w:tr w:rsidR="003E1839" w:rsidRPr="00EF4879" w14:paraId="7A65CABD" w14:textId="77777777" w:rsidTr="029525AA">
        <w:trPr>
          <w:cantSplit/>
          <w:trHeight w:val="288"/>
          <w:jc w:val="center"/>
        </w:trPr>
        <w:tc>
          <w:tcPr>
            <w:tcW w:w="447" w:type="dxa"/>
            <w:tcMar>
              <w:left w:w="0" w:type="dxa"/>
              <w:right w:w="0" w:type="dxa"/>
            </w:tcMar>
            <w:vAlign w:val="center"/>
          </w:tcPr>
          <w:p w14:paraId="26450414" w14:textId="3F0ED7E9" w:rsidR="003E1839" w:rsidRPr="00D90D2A" w:rsidRDefault="00AC40AA" w:rsidP="003E1839">
            <w:pPr>
              <w:ind w:left="0"/>
              <w:jc w:val="center"/>
            </w:pPr>
            <w:r>
              <w:t>3</w:t>
            </w:r>
            <w:r w:rsidR="00A03146">
              <w:t>9</w:t>
            </w:r>
          </w:p>
        </w:tc>
        <w:tc>
          <w:tcPr>
            <w:tcW w:w="6390" w:type="dxa"/>
            <w:vAlign w:val="center"/>
          </w:tcPr>
          <w:p w14:paraId="4D1A989B" w14:textId="17525DC1" w:rsidR="003E1839" w:rsidRDefault="003E1839" w:rsidP="003E1839">
            <w:pPr>
              <w:ind w:left="0"/>
            </w:pPr>
            <w:r w:rsidRPr="00D90D2A">
              <w:t>December 201</w:t>
            </w:r>
            <w:r w:rsidR="00440525">
              <w:t>9</w:t>
            </w:r>
            <w:r w:rsidRPr="00D90D2A">
              <w:t xml:space="preserve"> and April 20</w:t>
            </w:r>
            <w:r w:rsidR="00440525">
              <w:t>20</w:t>
            </w:r>
            <w:r w:rsidRPr="00D90D2A">
              <w:t xml:space="preserve"> Board of Commissioners Meetings</w:t>
            </w:r>
          </w:p>
          <w:p w14:paraId="08C93DE0" w14:textId="2EB61933" w:rsidR="00146005" w:rsidRPr="00146005" w:rsidRDefault="00146005" w:rsidP="00146005">
            <w:pPr>
              <w:pStyle w:val="ListParagraph"/>
              <w:numPr>
                <w:ilvl w:val="0"/>
                <w:numId w:val="7"/>
              </w:numPr>
              <w:rPr>
                <w:bCs/>
              </w:rPr>
            </w:pPr>
            <w:r>
              <w:rPr>
                <w:bCs/>
              </w:rPr>
              <w:t xml:space="preserve">Scheduling of </w:t>
            </w:r>
            <w:proofErr w:type="spellStart"/>
            <w:r w:rsidR="006C7576">
              <w:rPr>
                <w:bCs/>
              </w:rPr>
              <w:t>GoTo</w:t>
            </w:r>
            <w:proofErr w:type="spellEnd"/>
            <w:r>
              <w:rPr>
                <w:bCs/>
              </w:rPr>
              <w:t xml:space="preserve"> meeting</w:t>
            </w:r>
            <w:r w:rsidR="001C2435">
              <w:rPr>
                <w:bCs/>
              </w:rPr>
              <w:t xml:space="preserve"> </w:t>
            </w:r>
            <w:r w:rsidR="006C7576">
              <w:rPr>
                <w:bCs/>
              </w:rPr>
              <w:t xml:space="preserve">Saturday, </w:t>
            </w:r>
            <w:r w:rsidR="001C2435">
              <w:rPr>
                <w:bCs/>
              </w:rPr>
              <w:t>December 1</w:t>
            </w:r>
            <w:r w:rsidR="006C7576">
              <w:rPr>
                <w:bCs/>
              </w:rPr>
              <w:t>4</w:t>
            </w:r>
            <w:r w:rsidR="008457FA">
              <w:rPr>
                <w:bCs/>
              </w:rPr>
              <w:t>, 2019 from</w:t>
            </w:r>
            <w:r w:rsidR="001C2435">
              <w:rPr>
                <w:bCs/>
              </w:rPr>
              <w:t xml:space="preserve"> 10 a.m.</w:t>
            </w:r>
            <w:r w:rsidR="006C7576">
              <w:rPr>
                <w:bCs/>
              </w:rPr>
              <w:t>-2 p.m.</w:t>
            </w:r>
            <w:r w:rsidR="001C2435">
              <w:rPr>
                <w:bCs/>
              </w:rPr>
              <w:t xml:space="preserve"> CST.</w:t>
            </w:r>
          </w:p>
          <w:p w14:paraId="2BD390A1" w14:textId="534E19CE" w:rsidR="00146005" w:rsidRPr="00440525" w:rsidRDefault="00146005" w:rsidP="00146005">
            <w:pPr>
              <w:pStyle w:val="ListParagraph"/>
              <w:numPr>
                <w:ilvl w:val="0"/>
                <w:numId w:val="7"/>
              </w:numPr>
              <w:rPr>
                <w:bCs/>
              </w:rPr>
            </w:pPr>
            <w:r>
              <w:t>Consent agenda for future meetings and/or email approvals</w:t>
            </w:r>
            <w:r w:rsidR="008457FA">
              <w:t>. Board does not see many items that would work for it at this time.  No plans to utilize for now.</w:t>
            </w:r>
          </w:p>
          <w:p w14:paraId="40BA4889" w14:textId="75C231D0" w:rsidR="00440525" w:rsidRPr="00146005" w:rsidRDefault="008457FA" w:rsidP="00146005">
            <w:pPr>
              <w:pStyle w:val="ListParagraph"/>
              <w:numPr>
                <w:ilvl w:val="0"/>
                <w:numId w:val="7"/>
              </w:numPr>
              <w:rPr>
                <w:bCs/>
              </w:rPr>
            </w:pPr>
            <w:r>
              <w:t>Spring meeting will be in conjunction with conference: t</w:t>
            </w:r>
            <w:r w:rsidR="00440525">
              <w:t xml:space="preserve">ravel </w:t>
            </w:r>
            <w:r w:rsidR="00514452">
              <w:t>March</w:t>
            </w:r>
            <w:r w:rsidR="00440525">
              <w:t xml:space="preserve"> 29, </w:t>
            </w:r>
            <w:r>
              <w:t>m</w:t>
            </w:r>
            <w:r w:rsidR="00440525">
              <w:t xml:space="preserve">eet </w:t>
            </w:r>
            <w:r w:rsidR="00514452">
              <w:t xml:space="preserve">March </w:t>
            </w:r>
            <w:r w:rsidR="00440525">
              <w:t>30-31</w:t>
            </w:r>
            <w:r>
              <w:t>, 2019.</w:t>
            </w:r>
          </w:p>
        </w:tc>
        <w:tc>
          <w:tcPr>
            <w:tcW w:w="2533" w:type="dxa"/>
          </w:tcPr>
          <w:p w14:paraId="2A03809C" w14:textId="77777777" w:rsidR="00146005" w:rsidRDefault="00146005" w:rsidP="003E1839">
            <w:pPr>
              <w:ind w:left="0"/>
            </w:pPr>
          </w:p>
          <w:p w14:paraId="5F3D7F6B" w14:textId="2E19ACB6" w:rsidR="003E1839" w:rsidRDefault="003C13D0" w:rsidP="003E1839">
            <w:pPr>
              <w:ind w:left="0"/>
            </w:pPr>
            <w:r>
              <w:t>Collins</w:t>
            </w:r>
          </w:p>
          <w:p w14:paraId="457D7E5F" w14:textId="3EE6347E" w:rsidR="00146005" w:rsidRDefault="00146005" w:rsidP="003E1839">
            <w:pPr>
              <w:ind w:left="0"/>
            </w:pPr>
            <w:r>
              <w:t>Hafford</w:t>
            </w:r>
          </w:p>
        </w:tc>
      </w:tr>
      <w:tr w:rsidR="003E1839" w:rsidRPr="00EF4879" w14:paraId="0A06205B" w14:textId="77777777" w:rsidTr="029525AA">
        <w:trPr>
          <w:cantSplit/>
          <w:trHeight w:val="288"/>
          <w:jc w:val="center"/>
        </w:trPr>
        <w:tc>
          <w:tcPr>
            <w:tcW w:w="447" w:type="dxa"/>
            <w:tcMar>
              <w:left w:w="0" w:type="dxa"/>
              <w:right w:w="0" w:type="dxa"/>
            </w:tcMar>
            <w:vAlign w:val="center"/>
          </w:tcPr>
          <w:p w14:paraId="2E1FB8C3" w14:textId="1C6D9CD6" w:rsidR="003E1839" w:rsidRPr="00D90D2A" w:rsidRDefault="00A03146" w:rsidP="003E1839">
            <w:pPr>
              <w:ind w:left="0"/>
              <w:jc w:val="center"/>
            </w:pPr>
            <w:r>
              <w:t>40</w:t>
            </w:r>
          </w:p>
        </w:tc>
        <w:tc>
          <w:tcPr>
            <w:tcW w:w="6390" w:type="dxa"/>
            <w:vAlign w:val="center"/>
          </w:tcPr>
          <w:p w14:paraId="11FFCD4F" w14:textId="62D128F8" w:rsidR="003E1839" w:rsidRPr="00D90D2A" w:rsidRDefault="008457FA" w:rsidP="003E1839">
            <w:pPr>
              <w:ind w:left="0"/>
            </w:pPr>
            <w:r>
              <w:t xml:space="preserve">Members are reminded that the </w:t>
            </w:r>
            <w:r w:rsidR="003C13D0">
              <w:t xml:space="preserve">2020 ACAM </w:t>
            </w:r>
            <w:r>
              <w:t xml:space="preserve">is in </w:t>
            </w:r>
            <w:r w:rsidR="003C13D0">
              <w:t xml:space="preserve">Dallas </w:t>
            </w:r>
            <w:r>
              <w:t>(</w:t>
            </w:r>
            <w:r w:rsidR="003C13D0">
              <w:t>Galleria)</w:t>
            </w:r>
          </w:p>
        </w:tc>
        <w:tc>
          <w:tcPr>
            <w:tcW w:w="2533" w:type="dxa"/>
          </w:tcPr>
          <w:p w14:paraId="1D741995" w14:textId="76C110BC" w:rsidR="003E1839" w:rsidRDefault="003C13D0" w:rsidP="003E1839">
            <w:pPr>
              <w:ind w:left="0"/>
            </w:pPr>
            <w:r>
              <w:t>Collins</w:t>
            </w:r>
          </w:p>
        </w:tc>
      </w:tr>
      <w:tr w:rsidR="00AF36B1" w:rsidRPr="00EF4879" w14:paraId="77B9AB37" w14:textId="77777777" w:rsidTr="029525AA">
        <w:trPr>
          <w:cantSplit/>
          <w:trHeight w:val="288"/>
          <w:jc w:val="center"/>
        </w:trPr>
        <w:tc>
          <w:tcPr>
            <w:tcW w:w="447" w:type="dxa"/>
            <w:tcMar>
              <w:left w:w="0" w:type="dxa"/>
              <w:right w:w="0" w:type="dxa"/>
            </w:tcMar>
            <w:vAlign w:val="center"/>
          </w:tcPr>
          <w:p w14:paraId="3422F592" w14:textId="42C3B827" w:rsidR="00AF36B1" w:rsidRDefault="00AC40AA" w:rsidP="56ACD58B">
            <w:pPr>
              <w:spacing w:line="259" w:lineRule="auto"/>
              <w:ind w:left="0"/>
              <w:jc w:val="center"/>
            </w:pPr>
            <w:r>
              <w:t>4</w:t>
            </w:r>
            <w:r w:rsidR="00A03146">
              <w:t>1</w:t>
            </w:r>
          </w:p>
        </w:tc>
        <w:tc>
          <w:tcPr>
            <w:tcW w:w="6390" w:type="dxa"/>
            <w:vAlign w:val="center"/>
          </w:tcPr>
          <w:p w14:paraId="3E2B0CA6" w14:textId="77777777" w:rsidR="00AF36B1" w:rsidRDefault="003C13D0" w:rsidP="003E1839">
            <w:pPr>
              <w:ind w:left="0"/>
            </w:pPr>
            <w:r>
              <w:t>Other business</w:t>
            </w:r>
          </w:p>
          <w:p w14:paraId="2B27AD88" w14:textId="73687FD6" w:rsidR="003C13D0" w:rsidRDefault="00811BF0" w:rsidP="00290E1C">
            <w:pPr>
              <w:pStyle w:val="ListParagraph"/>
              <w:numPr>
                <w:ilvl w:val="0"/>
                <w:numId w:val="6"/>
              </w:numPr>
            </w:pPr>
            <w:r>
              <w:t>Discussion of duties/role</w:t>
            </w:r>
            <w:r w:rsidR="00290E1C">
              <w:t xml:space="preserve"> of public member</w:t>
            </w:r>
            <w:r w:rsidR="00CC042A">
              <w:t xml:space="preserve">: Scott Schroeder led discussion.  See handout. </w:t>
            </w:r>
            <w:r w:rsidR="00C76738">
              <w:t xml:space="preserve">Scott will update handout per discussion and upload to </w:t>
            </w:r>
            <w:proofErr w:type="spellStart"/>
            <w:r w:rsidR="00C76738">
              <w:t>dropbox</w:t>
            </w:r>
            <w:proofErr w:type="spellEnd"/>
            <w:r w:rsidR="00C76738">
              <w:t>.</w:t>
            </w:r>
          </w:p>
          <w:p w14:paraId="27B0B1E2" w14:textId="58446389" w:rsidR="00B714B4" w:rsidRDefault="00811BF0" w:rsidP="00146005">
            <w:pPr>
              <w:pStyle w:val="ListParagraph"/>
              <w:numPr>
                <w:ilvl w:val="0"/>
                <w:numId w:val="6"/>
              </w:numPr>
            </w:pPr>
            <w:r>
              <w:t>Site team “grading” rubric for BOC form</w:t>
            </w:r>
            <w:r w:rsidR="0018425C">
              <w:t xml:space="preserve"> (moved up to discussion prior to reviews)</w:t>
            </w:r>
            <w:r w:rsidR="00E36B82">
              <w:t xml:space="preserve"> Reviewed form in </w:t>
            </w:r>
            <w:proofErr w:type="spellStart"/>
            <w:r w:rsidR="00E36B82">
              <w:t>dropbox</w:t>
            </w:r>
            <w:proofErr w:type="spellEnd"/>
            <w:r w:rsidR="00E36B82">
              <w:t>.  Team will format into dropdowns or rubric or other format. HQ requests it be filled out in a manner that it can be given directly to the team.  (</w:t>
            </w:r>
            <w:proofErr w:type="spellStart"/>
            <w:r w:rsidR="00E36B82">
              <w:t>i</w:t>
            </w:r>
            <w:proofErr w:type="spellEnd"/>
            <w:r w:rsidR="00E36B82">
              <w:t xml:space="preserve">) Suggestion for team to also have a review to give to HQ.  </w:t>
            </w:r>
            <w:r w:rsidR="00C76738">
              <w:t>(</w:t>
            </w:r>
            <w:r w:rsidR="00E36B82">
              <w:t>Ted to research what past practice was and determine how to get site team member feedback).</w:t>
            </w:r>
            <w:r w:rsidR="00C76738">
              <w:t xml:space="preserve"> Laurie and </w:t>
            </w:r>
            <w:r w:rsidR="004A71FB">
              <w:t>JD to send form out for review and feedback.</w:t>
            </w:r>
          </w:p>
          <w:p w14:paraId="681680B2" w14:textId="368A7734" w:rsidR="0018425C" w:rsidRDefault="0018425C" w:rsidP="00146005">
            <w:pPr>
              <w:pStyle w:val="ListParagraph"/>
              <w:numPr>
                <w:ilvl w:val="0"/>
                <w:numId w:val="6"/>
              </w:numPr>
            </w:pPr>
            <w:r>
              <w:t>“Fast-track” option for school</w:t>
            </w:r>
            <w:r w:rsidR="00514452">
              <w:t>s: no decision made at this time</w:t>
            </w:r>
          </w:p>
          <w:p w14:paraId="7CEDDC7E" w14:textId="77777777" w:rsidR="00854877" w:rsidRDefault="00854877" w:rsidP="00146005">
            <w:pPr>
              <w:pStyle w:val="ListParagraph"/>
              <w:numPr>
                <w:ilvl w:val="0"/>
                <w:numId w:val="6"/>
              </w:numPr>
            </w:pPr>
            <w:r>
              <w:t xml:space="preserve">Commissioners noted that visitors are not specific enough on noting in form where items are located.  Request we go back to asking team to list as specifically as possible where items are located.  Also noted need to update ALL site visitors to new principles, etc. </w:t>
            </w:r>
          </w:p>
          <w:p w14:paraId="478B88D2" w14:textId="77777777" w:rsidR="00854877" w:rsidRDefault="00854877" w:rsidP="00146005">
            <w:pPr>
              <w:pStyle w:val="ListParagraph"/>
              <w:numPr>
                <w:ilvl w:val="0"/>
                <w:numId w:val="6"/>
              </w:numPr>
            </w:pPr>
            <w:r>
              <w:t>Review of new form for new principles.  Suggestions?</w:t>
            </w:r>
          </w:p>
          <w:p w14:paraId="4665F9D3" w14:textId="77777777" w:rsidR="00074261" w:rsidRDefault="00074261" w:rsidP="00146005">
            <w:pPr>
              <w:pStyle w:val="ListParagraph"/>
              <w:numPr>
                <w:ilvl w:val="0"/>
                <w:numId w:val="6"/>
              </w:numPr>
            </w:pPr>
            <w:r>
              <w:t>All notes due 10/15/19 unless otherwise noted</w:t>
            </w:r>
          </w:p>
          <w:p w14:paraId="16D41E56" w14:textId="22F145B7" w:rsidR="009E711F" w:rsidRPr="00514452" w:rsidRDefault="009E711F" w:rsidP="00146005">
            <w:pPr>
              <w:pStyle w:val="ListParagraph"/>
              <w:numPr>
                <w:ilvl w:val="0"/>
                <w:numId w:val="6"/>
              </w:numPr>
            </w:pPr>
            <w:r w:rsidRPr="00514452">
              <w:t>Discussion re: schools’ responding to recommendations in site-team le</w:t>
            </w:r>
            <w:r w:rsidR="008D74D9" w:rsidRPr="00514452">
              <w:t>tters.  Change language to state “please address these recommendations in your response” in site team findings letter to begin Fall 2019. Moved, seconded, approved.</w:t>
            </w:r>
          </w:p>
          <w:p w14:paraId="6D76B518" w14:textId="1E9828CD" w:rsidR="00255723" w:rsidRDefault="00255723" w:rsidP="00146005">
            <w:pPr>
              <w:pStyle w:val="ListParagraph"/>
              <w:numPr>
                <w:ilvl w:val="0"/>
                <w:numId w:val="6"/>
              </w:numPr>
            </w:pPr>
            <w:r>
              <w:t>Board affirmed prior decision to no longer give commendations</w:t>
            </w:r>
            <w:r w:rsidR="008457FA">
              <w:t>. Commendations noted on reviews for this meeting have been removed.</w:t>
            </w:r>
          </w:p>
          <w:p w14:paraId="3C33B7FB" w14:textId="16FD8E6B" w:rsidR="004028EF" w:rsidRPr="00D90D2A" w:rsidRDefault="004028EF" w:rsidP="00146005">
            <w:pPr>
              <w:pStyle w:val="ListParagraph"/>
              <w:numPr>
                <w:ilvl w:val="0"/>
                <w:numId w:val="6"/>
              </w:numPr>
            </w:pPr>
            <w:r>
              <w:t>Review of RIMS: Motion to move to suspension. Second, carried.</w:t>
            </w:r>
          </w:p>
        </w:tc>
        <w:tc>
          <w:tcPr>
            <w:tcW w:w="2533" w:type="dxa"/>
            <w:vAlign w:val="center"/>
          </w:tcPr>
          <w:p w14:paraId="6CC59ABE" w14:textId="77777777" w:rsidR="00146005" w:rsidRDefault="00146005" w:rsidP="003E1839">
            <w:pPr>
              <w:ind w:left="0"/>
            </w:pPr>
          </w:p>
          <w:p w14:paraId="10CE52AF" w14:textId="53BBF57D" w:rsidR="00AF36B1" w:rsidRDefault="00811BF0" w:rsidP="003E1839">
            <w:pPr>
              <w:ind w:left="0"/>
            </w:pPr>
            <w:r>
              <w:t>Schroeder</w:t>
            </w:r>
          </w:p>
          <w:p w14:paraId="7A58732A" w14:textId="77777777" w:rsidR="00811BF0" w:rsidRDefault="00811BF0" w:rsidP="003E1839">
            <w:pPr>
              <w:ind w:left="0"/>
            </w:pPr>
            <w:r>
              <w:t>Yates</w:t>
            </w:r>
          </w:p>
          <w:p w14:paraId="2725FF23" w14:textId="77E94F66" w:rsidR="00B714B4" w:rsidRDefault="00B714B4" w:rsidP="003E1839">
            <w:pPr>
              <w:ind w:left="0"/>
            </w:pPr>
          </w:p>
        </w:tc>
      </w:tr>
      <w:tr w:rsidR="00577B5C" w:rsidRPr="00EF4879" w14:paraId="0247E8E3" w14:textId="77777777" w:rsidTr="029525AA">
        <w:trPr>
          <w:cantSplit/>
          <w:trHeight w:val="288"/>
          <w:jc w:val="center"/>
        </w:trPr>
        <w:tc>
          <w:tcPr>
            <w:tcW w:w="447" w:type="dxa"/>
            <w:tcMar>
              <w:left w:w="0" w:type="dxa"/>
              <w:right w:w="0" w:type="dxa"/>
            </w:tcMar>
            <w:vAlign w:val="center"/>
          </w:tcPr>
          <w:p w14:paraId="0B1CBBE4" w14:textId="699382B9" w:rsidR="00577B5C" w:rsidRDefault="00AC40AA" w:rsidP="003E1839">
            <w:pPr>
              <w:ind w:left="0"/>
              <w:jc w:val="center"/>
            </w:pPr>
            <w:r>
              <w:t>4</w:t>
            </w:r>
            <w:r w:rsidR="00A03146">
              <w:t>2</w:t>
            </w:r>
          </w:p>
        </w:tc>
        <w:tc>
          <w:tcPr>
            <w:tcW w:w="6390" w:type="dxa"/>
            <w:vAlign w:val="center"/>
          </w:tcPr>
          <w:p w14:paraId="6860D193" w14:textId="77EB8F9C" w:rsidR="00577B5C" w:rsidRDefault="00577B5C" w:rsidP="003E1839">
            <w:pPr>
              <w:ind w:left="0"/>
            </w:pPr>
            <w:r>
              <w:t>Closed board session</w:t>
            </w:r>
            <w:r w:rsidR="003C13D0">
              <w:t xml:space="preserve"> </w:t>
            </w:r>
            <w:r w:rsidR="008457FA">
              <w:t xml:space="preserve">called to order at 1:20 p.m., 7/17/19. </w:t>
            </w:r>
          </w:p>
        </w:tc>
        <w:tc>
          <w:tcPr>
            <w:tcW w:w="2533" w:type="dxa"/>
            <w:vAlign w:val="center"/>
          </w:tcPr>
          <w:p w14:paraId="6554D3A2" w14:textId="5705BAEE" w:rsidR="00577B5C" w:rsidRDefault="003C13D0" w:rsidP="003E1839">
            <w:pPr>
              <w:ind w:left="0"/>
            </w:pPr>
            <w:r>
              <w:t>Hafford</w:t>
            </w:r>
          </w:p>
        </w:tc>
      </w:tr>
      <w:tr w:rsidR="003E1839" w:rsidRPr="00EF4879" w14:paraId="791E16B0" w14:textId="77777777" w:rsidTr="029525AA">
        <w:trPr>
          <w:cantSplit/>
          <w:trHeight w:val="288"/>
          <w:jc w:val="center"/>
        </w:trPr>
        <w:tc>
          <w:tcPr>
            <w:tcW w:w="447" w:type="dxa"/>
            <w:tcMar>
              <w:left w:w="0" w:type="dxa"/>
              <w:right w:w="0" w:type="dxa"/>
            </w:tcMar>
            <w:vAlign w:val="center"/>
          </w:tcPr>
          <w:p w14:paraId="2813F184" w14:textId="4DB5D9FD" w:rsidR="003E1839" w:rsidRPr="00D90D2A" w:rsidRDefault="00AC40AA" w:rsidP="003E1839">
            <w:pPr>
              <w:ind w:left="0"/>
              <w:jc w:val="center"/>
            </w:pPr>
            <w:r>
              <w:t>4</w:t>
            </w:r>
            <w:r w:rsidR="00A03146">
              <w:t>3</w:t>
            </w:r>
          </w:p>
        </w:tc>
        <w:tc>
          <w:tcPr>
            <w:tcW w:w="6390" w:type="dxa"/>
            <w:vAlign w:val="center"/>
          </w:tcPr>
          <w:p w14:paraId="2025201C" w14:textId="77777777" w:rsidR="003E1839" w:rsidRPr="00D90D2A" w:rsidRDefault="003E1839" w:rsidP="003E1839">
            <w:pPr>
              <w:ind w:left="0"/>
            </w:pPr>
            <w:r w:rsidRPr="00D90D2A">
              <w:t>Adjournment</w:t>
            </w:r>
          </w:p>
        </w:tc>
        <w:tc>
          <w:tcPr>
            <w:tcW w:w="2533" w:type="dxa"/>
            <w:vAlign w:val="center"/>
          </w:tcPr>
          <w:p w14:paraId="4B4D8CC4" w14:textId="278A50A8" w:rsidR="003E1839" w:rsidRPr="00EF4879" w:rsidRDefault="003C13D0" w:rsidP="003E1839">
            <w:pPr>
              <w:ind w:left="0"/>
            </w:pPr>
            <w:r>
              <w:t>Hafford</w:t>
            </w:r>
          </w:p>
        </w:tc>
      </w:tr>
    </w:tbl>
    <w:p w14:paraId="125955D3" w14:textId="206E51E7" w:rsidR="00FF6E67" w:rsidRDefault="00FF6E67" w:rsidP="00643B50">
      <w:pPr>
        <w:ind w:left="0"/>
      </w:pPr>
    </w:p>
    <w:p w14:paraId="4348D459" w14:textId="5C073478" w:rsidR="002264F7" w:rsidRDefault="002264F7" w:rsidP="00643B50">
      <w:pPr>
        <w:ind w:left="0"/>
      </w:pPr>
    </w:p>
    <w:p w14:paraId="1B74CD24" w14:textId="392A8D9A" w:rsidR="002264F7" w:rsidRDefault="002264F7" w:rsidP="00B93BBF">
      <w:pPr>
        <w:ind w:left="0"/>
      </w:pPr>
    </w:p>
    <w:sectPr w:rsidR="002264F7" w:rsidSect="00812EEE">
      <w:footerReference w:type="default" r:id="rId9"/>
      <w:pgSz w:w="12240" w:h="15840" w:code="1"/>
      <w:pgMar w:top="1152" w:right="1440" w:bottom="864" w:left="1440" w:header="720" w:footer="576"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7A01C" w14:textId="77777777" w:rsidR="000766E7" w:rsidRDefault="000766E7" w:rsidP="003937C0">
      <w:r>
        <w:separator/>
      </w:r>
    </w:p>
  </w:endnote>
  <w:endnote w:type="continuationSeparator" w:id="0">
    <w:p w14:paraId="6473D818" w14:textId="77777777" w:rsidR="000766E7" w:rsidRDefault="000766E7" w:rsidP="0039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654265"/>
      <w:docPartObj>
        <w:docPartGallery w:val="Page Numbers (Bottom of Page)"/>
        <w:docPartUnique/>
      </w:docPartObj>
    </w:sdtPr>
    <w:sdtEndPr>
      <w:rPr>
        <w:noProof/>
      </w:rPr>
    </w:sdtEndPr>
    <w:sdtContent>
      <w:p w14:paraId="3B75D856" w14:textId="6B89BB1D" w:rsidR="001E7B8C" w:rsidRPr="000B156A" w:rsidRDefault="001E7B8C" w:rsidP="000B156A">
        <w:pPr>
          <w:pStyle w:val="Footer"/>
          <w:ind w:left="0"/>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A3440" w14:textId="77777777" w:rsidR="000766E7" w:rsidRDefault="000766E7" w:rsidP="003937C0">
      <w:r>
        <w:separator/>
      </w:r>
    </w:p>
  </w:footnote>
  <w:footnote w:type="continuationSeparator" w:id="0">
    <w:p w14:paraId="72B222F5" w14:textId="77777777" w:rsidR="000766E7" w:rsidRDefault="000766E7" w:rsidP="00393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91E"/>
    <w:multiLevelType w:val="hybridMultilevel"/>
    <w:tmpl w:val="C7045DAC"/>
    <w:lvl w:ilvl="0" w:tplc="407420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34F89"/>
    <w:multiLevelType w:val="hybridMultilevel"/>
    <w:tmpl w:val="C6FE7B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7095C"/>
    <w:multiLevelType w:val="hybridMultilevel"/>
    <w:tmpl w:val="FA46DA40"/>
    <w:lvl w:ilvl="0" w:tplc="79644C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F42E3"/>
    <w:multiLevelType w:val="hybridMultilevel"/>
    <w:tmpl w:val="10D4E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A7CD3"/>
    <w:multiLevelType w:val="hybridMultilevel"/>
    <w:tmpl w:val="CA7460C4"/>
    <w:lvl w:ilvl="0" w:tplc="8A7E69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C17A1"/>
    <w:multiLevelType w:val="hybridMultilevel"/>
    <w:tmpl w:val="530ED9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7509F0"/>
    <w:multiLevelType w:val="hybridMultilevel"/>
    <w:tmpl w:val="3AC4F2C0"/>
    <w:lvl w:ilvl="0" w:tplc="29C6DF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82177"/>
    <w:multiLevelType w:val="hybridMultilevel"/>
    <w:tmpl w:val="4FC6F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637D80"/>
    <w:multiLevelType w:val="hybridMultilevel"/>
    <w:tmpl w:val="E056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F36F59"/>
    <w:multiLevelType w:val="hybridMultilevel"/>
    <w:tmpl w:val="AAC86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83057"/>
    <w:multiLevelType w:val="hybridMultilevel"/>
    <w:tmpl w:val="70DA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0"/>
  </w:num>
  <w:num w:numId="5">
    <w:abstractNumId w:val="6"/>
  </w:num>
  <w:num w:numId="6">
    <w:abstractNumId w:val="2"/>
  </w:num>
  <w:num w:numId="7">
    <w:abstractNumId w:val="4"/>
  </w:num>
  <w:num w:numId="8">
    <w:abstractNumId w:val="3"/>
  </w:num>
  <w:num w:numId="9">
    <w:abstractNumId w:val="9"/>
  </w:num>
  <w:num w:numId="10">
    <w:abstractNumId w:val="8"/>
  </w:num>
  <w:num w:numId="1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67"/>
    <w:rsid w:val="00000250"/>
    <w:rsid w:val="000009B3"/>
    <w:rsid w:val="00001C8E"/>
    <w:rsid w:val="000030DB"/>
    <w:rsid w:val="00006DE7"/>
    <w:rsid w:val="0001529D"/>
    <w:rsid w:val="0001757A"/>
    <w:rsid w:val="00021DC6"/>
    <w:rsid w:val="00032403"/>
    <w:rsid w:val="0003698C"/>
    <w:rsid w:val="000411F5"/>
    <w:rsid w:val="00046002"/>
    <w:rsid w:val="00053830"/>
    <w:rsid w:val="00057B89"/>
    <w:rsid w:val="00064061"/>
    <w:rsid w:val="00065698"/>
    <w:rsid w:val="00066225"/>
    <w:rsid w:val="000736C7"/>
    <w:rsid w:val="00074261"/>
    <w:rsid w:val="000766E7"/>
    <w:rsid w:val="00076D09"/>
    <w:rsid w:val="00081083"/>
    <w:rsid w:val="000816B3"/>
    <w:rsid w:val="000947C1"/>
    <w:rsid w:val="0009700F"/>
    <w:rsid w:val="000979CA"/>
    <w:rsid w:val="000A53D6"/>
    <w:rsid w:val="000B1474"/>
    <w:rsid w:val="000B156A"/>
    <w:rsid w:val="000C52AA"/>
    <w:rsid w:val="000C61D6"/>
    <w:rsid w:val="000C7D08"/>
    <w:rsid w:val="000D0787"/>
    <w:rsid w:val="000D4CA1"/>
    <w:rsid w:val="000E5267"/>
    <w:rsid w:val="000E577D"/>
    <w:rsid w:val="000F2163"/>
    <w:rsid w:val="00101B83"/>
    <w:rsid w:val="00107200"/>
    <w:rsid w:val="001136CA"/>
    <w:rsid w:val="001138BF"/>
    <w:rsid w:val="001157B4"/>
    <w:rsid w:val="00116DCD"/>
    <w:rsid w:val="00125306"/>
    <w:rsid w:val="00125484"/>
    <w:rsid w:val="00126731"/>
    <w:rsid w:val="00135065"/>
    <w:rsid w:val="00141981"/>
    <w:rsid w:val="00144BC6"/>
    <w:rsid w:val="00146005"/>
    <w:rsid w:val="001533E9"/>
    <w:rsid w:val="001565C7"/>
    <w:rsid w:val="001639F0"/>
    <w:rsid w:val="0016508F"/>
    <w:rsid w:val="00166E1E"/>
    <w:rsid w:val="001679F6"/>
    <w:rsid w:val="0017494E"/>
    <w:rsid w:val="00175C9A"/>
    <w:rsid w:val="0018425C"/>
    <w:rsid w:val="001865DE"/>
    <w:rsid w:val="00195C52"/>
    <w:rsid w:val="00197250"/>
    <w:rsid w:val="001977CF"/>
    <w:rsid w:val="001A26EF"/>
    <w:rsid w:val="001B0141"/>
    <w:rsid w:val="001C158B"/>
    <w:rsid w:val="001C2435"/>
    <w:rsid w:val="001C300E"/>
    <w:rsid w:val="001C31D1"/>
    <w:rsid w:val="001D5254"/>
    <w:rsid w:val="001D6665"/>
    <w:rsid w:val="001E7B8C"/>
    <w:rsid w:val="001F07F5"/>
    <w:rsid w:val="001F11DA"/>
    <w:rsid w:val="001F1326"/>
    <w:rsid w:val="00204015"/>
    <w:rsid w:val="002100A5"/>
    <w:rsid w:val="002108EF"/>
    <w:rsid w:val="00210CAA"/>
    <w:rsid w:val="002218B2"/>
    <w:rsid w:val="00223A2C"/>
    <w:rsid w:val="002264F7"/>
    <w:rsid w:val="0023160C"/>
    <w:rsid w:val="00233878"/>
    <w:rsid w:val="00234D3B"/>
    <w:rsid w:val="00241388"/>
    <w:rsid w:val="00242D5C"/>
    <w:rsid w:val="00243A83"/>
    <w:rsid w:val="002450AE"/>
    <w:rsid w:val="00247BB9"/>
    <w:rsid w:val="00255723"/>
    <w:rsid w:val="00262678"/>
    <w:rsid w:val="00262811"/>
    <w:rsid w:val="0027147A"/>
    <w:rsid w:val="00273270"/>
    <w:rsid w:val="002771F9"/>
    <w:rsid w:val="0027780D"/>
    <w:rsid w:val="002816A0"/>
    <w:rsid w:val="00287E59"/>
    <w:rsid w:val="00290D34"/>
    <w:rsid w:val="00290E1C"/>
    <w:rsid w:val="002A40B9"/>
    <w:rsid w:val="002B146A"/>
    <w:rsid w:val="002B62EE"/>
    <w:rsid w:val="002C288F"/>
    <w:rsid w:val="002C5468"/>
    <w:rsid w:val="002D4D4B"/>
    <w:rsid w:val="002D7434"/>
    <w:rsid w:val="002E1ED0"/>
    <w:rsid w:val="002F4C9A"/>
    <w:rsid w:val="0030386B"/>
    <w:rsid w:val="00303879"/>
    <w:rsid w:val="00304A91"/>
    <w:rsid w:val="00306D09"/>
    <w:rsid w:val="00317340"/>
    <w:rsid w:val="003260B3"/>
    <w:rsid w:val="0032739B"/>
    <w:rsid w:val="003322C2"/>
    <w:rsid w:val="003346BE"/>
    <w:rsid w:val="00341DA4"/>
    <w:rsid w:val="00350F73"/>
    <w:rsid w:val="003529E0"/>
    <w:rsid w:val="003531A4"/>
    <w:rsid w:val="00365B11"/>
    <w:rsid w:val="00373713"/>
    <w:rsid w:val="00375579"/>
    <w:rsid w:val="00385A3F"/>
    <w:rsid w:val="00386153"/>
    <w:rsid w:val="00392D2F"/>
    <w:rsid w:val="003937C0"/>
    <w:rsid w:val="00397367"/>
    <w:rsid w:val="003A67BD"/>
    <w:rsid w:val="003B10FA"/>
    <w:rsid w:val="003C1045"/>
    <w:rsid w:val="003C13D0"/>
    <w:rsid w:val="003C446A"/>
    <w:rsid w:val="003C48D6"/>
    <w:rsid w:val="003D2E9A"/>
    <w:rsid w:val="003D650C"/>
    <w:rsid w:val="003D66DC"/>
    <w:rsid w:val="003E1839"/>
    <w:rsid w:val="003E35E4"/>
    <w:rsid w:val="003E4E8D"/>
    <w:rsid w:val="003E55C4"/>
    <w:rsid w:val="003F153B"/>
    <w:rsid w:val="003F2CF0"/>
    <w:rsid w:val="003F4B99"/>
    <w:rsid w:val="003F6503"/>
    <w:rsid w:val="003F69EB"/>
    <w:rsid w:val="003F75CF"/>
    <w:rsid w:val="003F7869"/>
    <w:rsid w:val="004028EF"/>
    <w:rsid w:val="00403F8B"/>
    <w:rsid w:val="00411CBE"/>
    <w:rsid w:val="00411E40"/>
    <w:rsid w:val="00414A27"/>
    <w:rsid w:val="004168E6"/>
    <w:rsid w:val="004170EA"/>
    <w:rsid w:val="00417DCA"/>
    <w:rsid w:val="00423063"/>
    <w:rsid w:val="00426B6A"/>
    <w:rsid w:val="00427362"/>
    <w:rsid w:val="00431C3B"/>
    <w:rsid w:val="00440525"/>
    <w:rsid w:val="00447876"/>
    <w:rsid w:val="00450871"/>
    <w:rsid w:val="00456C33"/>
    <w:rsid w:val="00460FDD"/>
    <w:rsid w:val="00463B3E"/>
    <w:rsid w:val="0046677C"/>
    <w:rsid w:val="004668A5"/>
    <w:rsid w:val="00470ED3"/>
    <w:rsid w:val="00472866"/>
    <w:rsid w:val="00472889"/>
    <w:rsid w:val="00473DB6"/>
    <w:rsid w:val="004750DC"/>
    <w:rsid w:val="00480EC1"/>
    <w:rsid w:val="00481660"/>
    <w:rsid w:val="004844C6"/>
    <w:rsid w:val="00494C6C"/>
    <w:rsid w:val="00496AB6"/>
    <w:rsid w:val="004A225A"/>
    <w:rsid w:val="004A4A21"/>
    <w:rsid w:val="004A5562"/>
    <w:rsid w:val="004A694C"/>
    <w:rsid w:val="004A6F36"/>
    <w:rsid w:val="004A71FB"/>
    <w:rsid w:val="004B181E"/>
    <w:rsid w:val="004B7044"/>
    <w:rsid w:val="004B7119"/>
    <w:rsid w:val="004C1AD1"/>
    <w:rsid w:val="004C41BF"/>
    <w:rsid w:val="004C5131"/>
    <w:rsid w:val="004C53D1"/>
    <w:rsid w:val="004C6FCA"/>
    <w:rsid w:val="004D2D69"/>
    <w:rsid w:val="004D71DF"/>
    <w:rsid w:val="004D722F"/>
    <w:rsid w:val="004E776F"/>
    <w:rsid w:val="00503443"/>
    <w:rsid w:val="00506386"/>
    <w:rsid w:val="00507B68"/>
    <w:rsid w:val="005127CF"/>
    <w:rsid w:val="00514452"/>
    <w:rsid w:val="0051473C"/>
    <w:rsid w:val="00514F5E"/>
    <w:rsid w:val="0052090B"/>
    <w:rsid w:val="005242E7"/>
    <w:rsid w:val="00537B22"/>
    <w:rsid w:val="00542D32"/>
    <w:rsid w:val="0054558F"/>
    <w:rsid w:val="00545C73"/>
    <w:rsid w:val="005502A6"/>
    <w:rsid w:val="0055237E"/>
    <w:rsid w:val="005546CB"/>
    <w:rsid w:val="005623E8"/>
    <w:rsid w:val="00566137"/>
    <w:rsid w:val="0057309B"/>
    <w:rsid w:val="0057584A"/>
    <w:rsid w:val="00577B5C"/>
    <w:rsid w:val="00580BC2"/>
    <w:rsid w:val="005854AE"/>
    <w:rsid w:val="00587C61"/>
    <w:rsid w:val="00595CE5"/>
    <w:rsid w:val="00595E13"/>
    <w:rsid w:val="005A0D42"/>
    <w:rsid w:val="005A1A18"/>
    <w:rsid w:val="005A21A7"/>
    <w:rsid w:val="005A3962"/>
    <w:rsid w:val="005B4F50"/>
    <w:rsid w:val="005B7F61"/>
    <w:rsid w:val="005C0DA5"/>
    <w:rsid w:val="005D0FA8"/>
    <w:rsid w:val="005D342D"/>
    <w:rsid w:val="005D3A7B"/>
    <w:rsid w:val="005D3FD0"/>
    <w:rsid w:val="005D5FEE"/>
    <w:rsid w:val="005D7F69"/>
    <w:rsid w:val="005E6210"/>
    <w:rsid w:val="005F00C7"/>
    <w:rsid w:val="005F04E6"/>
    <w:rsid w:val="005F7923"/>
    <w:rsid w:val="00602F1C"/>
    <w:rsid w:val="00606905"/>
    <w:rsid w:val="00613747"/>
    <w:rsid w:val="00617400"/>
    <w:rsid w:val="006215A0"/>
    <w:rsid w:val="00621D9C"/>
    <w:rsid w:val="0062266C"/>
    <w:rsid w:val="00631936"/>
    <w:rsid w:val="0063468A"/>
    <w:rsid w:val="0063657A"/>
    <w:rsid w:val="006412D7"/>
    <w:rsid w:val="006426C8"/>
    <w:rsid w:val="006427F4"/>
    <w:rsid w:val="00643B50"/>
    <w:rsid w:val="0064418C"/>
    <w:rsid w:val="0064797C"/>
    <w:rsid w:val="00647D99"/>
    <w:rsid w:val="00650DED"/>
    <w:rsid w:val="00651AF0"/>
    <w:rsid w:val="00652A8A"/>
    <w:rsid w:val="00657C5E"/>
    <w:rsid w:val="006640E8"/>
    <w:rsid w:val="006652D3"/>
    <w:rsid w:val="00665F48"/>
    <w:rsid w:val="00666E8C"/>
    <w:rsid w:val="00671C99"/>
    <w:rsid w:val="0067387F"/>
    <w:rsid w:val="00675D1F"/>
    <w:rsid w:val="006775CB"/>
    <w:rsid w:val="00687633"/>
    <w:rsid w:val="00694ED2"/>
    <w:rsid w:val="00696335"/>
    <w:rsid w:val="006973C9"/>
    <w:rsid w:val="006A074E"/>
    <w:rsid w:val="006A2538"/>
    <w:rsid w:val="006A36C9"/>
    <w:rsid w:val="006A4F8B"/>
    <w:rsid w:val="006C2FFA"/>
    <w:rsid w:val="006C73D1"/>
    <w:rsid w:val="006C7576"/>
    <w:rsid w:val="006D2765"/>
    <w:rsid w:val="006E50ED"/>
    <w:rsid w:val="006E70AE"/>
    <w:rsid w:val="006F0C3C"/>
    <w:rsid w:val="006F2ADF"/>
    <w:rsid w:val="006F36D3"/>
    <w:rsid w:val="006F46DB"/>
    <w:rsid w:val="006F47D2"/>
    <w:rsid w:val="007031A5"/>
    <w:rsid w:val="00704464"/>
    <w:rsid w:val="007068AE"/>
    <w:rsid w:val="00710D20"/>
    <w:rsid w:val="00712B45"/>
    <w:rsid w:val="00713169"/>
    <w:rsid w:val="00717B80"/>
    <w:rsid w:val="007241F8"/>
    <w:rsid w:val="00725D43"/>
    <w:rsid w:val="00732605"/>
    <w:rsid w:val="00733770"/>
    <w:rsid w:val="00735AE8"/>
    <w:rsid w:val="0074232C"/>
    <w:rsid w:val="00744741"/>
    <w:rsid w:val="007578F3"/>
    <w:rsid w:val="0076172C"/>
    <w:rsid w:val="00761E85"/>
    <w:rsid w:val="00762F4C"/>
    <w:rsid w:val="007865D0"/>
    <w:rsid w:val="0078790B"/>
    <w:rsid w:val="007903E4"/>
    <w:rsid w:val="0079256D"/>
    <w:rsid w:val="00796FF0"/>
    <w:rsid w:val="00797137"/>
    <w:rsid w:val="007A2F16"/>
    <w:rsid w:val="007A39A9"/>
    <w:rsid w:val="007A473A"/>
    <w:rsid w:val="007B1982"/>
    <w:rsid w:val="007C1857"/>
    <w:rsid w:val="007C2183"/>
    <w:rsid w:val="007C3861"/>
    <w:rsid w:val="007D2453"/>
    <w:rsid w:val="007E57F3"/>
    <w:rsid w:val="008018E4"/>
    <w:rsid w:val="00805609"/>
    <w:rsid w:val="00805B53"/>
    <w:rsid w:val="00806349"/>
    <w:rsid w:val="00811BF0"/>
    <w:rsid w:val="00812EEE"/>
    <w:rsid w:val="00813E79"/>
    <w:rsid w:val="0081763A"/>
    <w:rsid w:val="00832BE0"/>
    <w:rsid w:val="00842E56"/>
    <w:rsid w:val="008457FA"/>
    <w:rsid w:val="008465A8"/>
    <w:rsid w:val="00847D18"/>
    <w:rsid w:val="00854877"/>
    <w:rsid w:val="00855054"/>
    <w:rsid w:val="00860E2D"/>
    <w:rsid w:val="00866C04"/>
    <w:rsid w:val="00871B7B"/>
    <w:rsid w:val="00876509"/>
    <w:rsid w:val="0088157B"/>
    <w:rsid w:val="0088445F"/>
    <w:rsid w:val="00885E83"/>
    <w:rsid w:val="008918A7"/>
    <w:rsid w:val="00895B73"/>
    <w:rsid w:val="008960BF"/>
    <w:rsid w:val="008966CC"/>
    <w:rsid w:val="008A24B0"/>
    <w:rsid w:val="008A539D"/>
    <w:rsid w:val="008B07D3"/>
    <w:rsid w:val="008B18B9"/>
    <w:rsid w:val="008B1FC9"/>
    <w:rsid w:val="008B709F"/>
    <w:rsid w:val="008C573C"/>
    <w:rsid w:val="008C6879"/>
    <w:rsid w:val="008D19DF"/>
    <w:rsid w:val="008D74D9"/>
    <w:rsid w:val="008E705F"/>
    <w:rsid w:val="008F05D0"/>
    <w:rsid w:val="008F0B3C"/>
    <w:rsid w:val="008F0F7B"/>
    <w:rsid w:val="008F607F"/>
    <w:rsid w:val="00901DE2"/>
    <w:rsid w:val="0090621E"/>
    <w:rsid w:val="009065BD"/>
    <w:rsid w:val="00920D79"/>
    <w:rsid w:val="009223EE"/>
    <w:rsid w:val="00924583"/>
    <w:rsid w:val="00932136"/>
    <w:rsid w:val="00951FD9"/>
    <w:rsid w:val="0095420F"/>
    <w:rsid w:val="00954821"/>
    <w:rsid w:val="009567A3"/>
    <w:rsid w:val="009756E9"/>
    <w:rsid w:val="009770A7"/>
    <w:rsid w:val="009804F6"/>
    <w:rsid w:val="00982452"/>
    <w:rsid w:val="00990404"/>
    <w:rsid w:val="00992BE9"/>
    <w:rsid w:val="00997A40"/>
    <w:rsid w:val="009A1458"/>
    <w:rsid w:val="009B571E"/>
    <w:rsid w:val="009B5CCD"/>
    <w:rsid w:val="009B5E70"/>
    <w:rsid w:val="009B638D"/>
    <w:rsid w:val="009C2F65"/>
    <w:rsid w:val="009C4E62"/>
    <w:rsid w:val="009C6094"/>
    <w:rsid w:val="009D3D42"/>
    <w:rsid w:val="009D4938"/>
    <w:rsid w:val="009E711F"/>
    <w:rsid w:val="009E7587"/>
    <w:rsid w:val="009F466C"/>
    <w:rsid w:val="00A03146"/>
    <w:rsid w:val="00A04090"/>
    <w:rsid w:val="00A07655"/>
    <w:rsid w:val="00A10FA2"/>
    <w:rsid w:val="00A2023E"/>
    <w:rsid w:val="00A32099"/>
    <w:rsid w:val="00A35FB6"/>
    <w:rsid w:val="00A41E1B"/>
    <w:rsid w:val="00A51510"/>
    <w:rsid w:val="00A5535D"/>
    <w:rsid w:val="00A60284"/>
    <w:rsid w:val="00A645E6"/>
    <w:rsid w:val="00A6539C"/>
    <w:rsid w:val="00A753F8"/>
    <w:rsid w:val="00A75E89"/>
    <w:rsid w:val="00A77924"/>
    <w:rsid w:val="00A82F6F"/>
    <w:rsid w:val="00A859B6"/>
    <w:rsid w:val="00A86240"/>
    <w:rsid w:val="00A8687E"/>
    <w:rsid w:val="00A87FCE"/>
    <w:rsid w:val="00A9379E"/>
    <w:rsid w:val="00AA0099"/>
    <w:rsid w:val="00AC2572"/>
    <w:rsid w:val="00AC40AA"/>
    <w:rsid w:val="00AD535B"/>
    <w:rsid w:val="00AE01E6"/>
    <w:rsid w:val="00AE4A27"/>
    <w:rsid w:val="00AE633F"/>
    <w:rsid w:val="00AF36B1"/>
    <w:rsid w:val="00AF4C3C"/>
    <w:rsid w:val="00B02FD8"/>
    <w:rsid w:val="00B05C5E"/>
    <w:rsid w:val="00B06445"/>
    <w:rsid w:val="00B114AA"/>
    <w:rsid w:val="00B1306D"/>
    <w:rsid w:val="00B1528E"/>
    <w:rsid w:val="00B15F6E"/>
    <w:rsid w:val="00B202AA"/>
    <w:rsid w:val="00B22FC8"/>
    <w:rsid w:val="00B259F5"/>
    <w:rsid w:val="00B26697"/>
    <w:rsid w:val="00B27860"/>
    <w:rsid w:val="00B37711"/>
    <w:rsid w:val="00B37B33"/>
    <w:rsid w:val="00B40761"/>
    <w:rsid w:val="00B46E96"/>
    <w:rsid w:val="00B525B7"/>
    <w:rsid w:val="00B55C0C"/>
    <w:rsid w:val="00B6498A"/>
    <w:rsid w:val="00B6785B"/>
    <w:rsid w:val="00B67A91"/>
    <w:rsid w:val="00B714B4"/>
    <w:rsid w:val="00B84A51"/>
    <w:rsid w:val="00B926A7"/>
    <w:rsid w:val="00B92DBC"/>
    <w:rsid w:val="00B93BBF"/>
    <w:rsid w:val="00BB3BAA"/>
    <w:rsid w:val="00BB3E3A"/>
    <w:rsid w:val="00BB7EDE"/>
    <w:rsid w:val="00BC1D6F"/>
    <w:rsid w:val="00BD2BDD"/>
    <w:rsid w:val="00BD5C59"/>
    <w:rsid w:val="00BE1534"/>
    <w:rsid w:val="00BE2D13"/>
    <w:rsid w:val="00BE37B1"/>
    <w:rsid w:val="00BE5045"/>
    <w:rsid w:val="00BE51B7"/>
    <w:rsid w:val="00BF1182"/>
    <w:rsid w:val="00C03B8B"/>
    <w:rsid w:val="00C04491"/>
    <w:rsid w:val="00C333A6"/>
    <w:rsid w:val="00C35076"/>
    <w:rsid w:val="00C4356B"/>
    <w:rsid w:val="00C43C0F"/>
    <w:rsid w:val="00C445DC"/>
    <w:rsid w:val="00C452A7"/>
    <w:rsid w:val="00C4653F"/>
    <w:rsid w:val="00C526B3"/>
    <w:rsid w:val="00C53BF0"/>
    <w:rsid w:val="00C60E10"/>
    <w:rsid w:val="00C626CA"/>
    <w:rsid w:val="00C63829"/>
    <w:rsid w:val="00C641C9"/>
    <w:rsid w:val="00C6756F"/>
    <w:rsid w:val="00C76738"/>
    <w:rsid w:val="00C77247"/>
    <w:rsid w:val="00C8269B"/>
    <w:rsid w:val="00C84BDE"/>
    <w:rsid w:val="00C86B0D"/>
    <w:rsid w:val="00C87A6C"/>
    <w:rsid w:val="00C93987"/>
    <w:rsid w:val="00C950C5"/>
    <w:rsid w:val="00C97EBC"/>
    <w:rsid w:val="00CA76B8"/>
    <w:rsid w:val="00CB5D45"/>
    <w:rsid w:val="00CC042A"/>
    <w:rsid w:val="00CC2721"/>
    <w:rsid w:val="00CC2786"/>
    <w:rsid w:val="00CC45D6"/>
    <w:rsid w:val="00CC4F8F"/>
    <w:rsid w:val="00CD59B1"/>
    <w:rsid w:val="00CD73A2"/>
    <w:rsid w:val="00CE0381"/>
    <w:rsid w:val="00CE64CD"/>
    <w:rsid w:val="00CE6EA4"/>
    <w:rsid w:val="00CE7BDA"/>
    <w:rsid w:val="00CF50A9"/>
    <w:rsid w:val="00CF6D13"/>
    <w:rsid w:val="00D0458A"/>
    <w:rsid w:val="00D05517"/>
    <w:rsid w:val="00D14303"/>
    <w:rsid w:val="00D20C16"/>
    <w:rsid w:val="00D27BFE"/>
    <w:rsid w:val="00D27EF4"/>
    <w:rsid w:val="00D30363"/>
    <w:rsid w:val="00D31A6E"/>
    <w:rsid w:val="00D37AFB"/>
    <w:rsid w:val="00D42862"/>
    <w:rsid w:val="00D440FB"/>
    <w:rsid w:val="00D46130"/>
    <w:rsid w:val="00D532B2"/>
    <w:rsid w:val="00D5525A"/>
    <w:rsid w:val="00D571BA"/>
    <w:rsid w:val="00D60ED9"/>
    <w:rsid w:val="00D64704"/>
    <w:rsid w:val="00D65ED7"/>
    <w:rsid w:val="00D72F5A"/>
    <w:rsid w:val="00D74854"/>
    <w:rsid w:val="00D76E0E"/>
    <w:rsid w:val="00D8213E"/>
    <w:rsid w:val="00D90D2A"/>
    <w:rsid w:val="00D9337A"/>
    <w:rsid w:val="00D95AC0"/>
    <w:rsid w:val="00D979BE"/>
    <w:rsid w:val="00D979DF"/>
    <w:rsid w:val="00DB26EE"/>
    <w:rsid w:val="00DC382E"/>
    <w:rsid w:val="00DC44E1"/>
    <w:rsid w:val="00DC61AD"/>
    <w:rsid w:val="00DD2EFD"/>
    <w:rsid w:val="00DD3036"/>
    <w:rsid w:val="00DD70D8"/>
    <w:rsid w:val="00DE1EE7"/>
    <w:rsid w:val="00DF6FD3"/>
    <w:rsid w:val="00E01907"/>
    <w:rsid w:val="00E030D0"/>
    <w:rsid w:val="00E06172"/>
    <w:rsid w:val="00E10FD2"/>
    <w:rsid w:val="00E112BA"/>
    <w:rsid w:val="00E13436"/>
    <w:rsid w:val="00E1606C"/>
    <w:rsid w:val="00E24821"/>
    <w:rsid w:val="00E268C5"/>
    <w:rsid w:val="00E30D38"/>
    <w:rsid w:val="00E314A1"/>
    <w:rsid w:val="00E326C8"/>
    <w:rsid w:val="00E34C75"/>
    <w:rsid w:val="00E35A90"/>
    <w:rsid w:val="00E36B82"/>
    <w:rsid w:val="00E479A0"/>
    <w:rsid w:val="00E505DF"/>
    <w:rsid w:val="00E54334"/>
    <w:rsid w:val="00E612E0"/>
    <w:rsid w:val="00E61CB0"/>
    <w:rsid w:val="00E63550"/>
    <w:rsid w:val="00E74D59"/>
    <w:rsid w:val="00E74FAC"/>
    <w:rsid w:val="00E75F3B"/>
    <w:rsid w:val="00E767E0"/>
    <w:rsid w:val="00E83B9A"/>
    <w:rsid w:val="00E861C3"/>
    <w:rsid w:val="00E951BA"/>
    <w:rsid w:val="00E9535C"/>
    <w:rsid w:val="00E97704"/>
    <w:rsid w:val="00EA4319"/>
    <w:rsid w:val="00EA55B9"/>
    <w:rsid w:val="00EB6031"/>
    <w:rsid w:val="00EB6574"/>
    <w:rsid w:val="00EC0B6C"/>
    <w:rsid w:val="00EC5780"/>
    <w:rsid w:val="00EC62C3"/>
    <w:rsid w:val="00ED620B"/>
    <w:rsid w:val="00EE321E"/>
    <w:rsid w:val="00EF4879"/>
    <w:rsid w:val="00EF615F"/>
    <w:rsid w:val="00EF6DA7"/>
    <w:rsid w:val="00F04D03"/>
    <w:rsid w:val="00F074A1"/>
    <w:rsid w:val="00F07555"/>
    <w:rsid w:val="00F13135"/>
    <w:rsid w:val="00F15D49"/>
    <w:rsid w:val="00F36DD7"/>
    <w:rsid w:val="00F370FE"/>
    <w:rsid w:val="00F378CA"/>
    <w:rsid w:val="00F44300"/>
    <w:rsid w:val="00F51353"/>
    <w:rsid w:val="00F51BBD"/>
    <w:rsid w:val="00F569E0"/>
    <w:rsid w:val="00F6216B"/>
    <w:rsid w:val="00F631EF"/>
    <w:rsid w:val="00F6377E"/>
    <w:rsid w:val="00F677EC"/>
    <w:rsid w:val="00F765FB"/>
    <w:rsid w:val="00F81927"/>
    <w:rsid w:val="00F83744"/>
    <w:rsid w:val="00F83784"/>
    <w:rsid w:val="00F865EF"/>
    <w:rsid w:val="00F87DFF"/>
    <w:rsid w:val="00F96B84"/>
    <w:rsid w:val="00FA2070"/>
    <w:rsid w:val="00FA573C"/>
    <w:rsid w:val="00FA5806"/>
    <w:rsid w:val="00FA769B"/>
    <w:rsid w:val="00FB1332"/>
    <w:rsid w:val="00FB292B"/>
    <w:rsid w:val="00FB356D"/>
    <w:rsid w:val="00FB62A1"/>
    <w:rsid w:val="00FB6F55"/>
    <w:rsid w:val="00FC06F7"/>
    <w:rsid w:val="00FC53F7"/>
    <w:rsid w:val="00FC7385"/>
    <w:rsid w:val="00FC7E84"/>
    <w:rsid w:val="00FD2870"/>
    <w:rsid w:val="00FF1152"/>
    <w:rsid w:val="00FF55FB"/>
    <w:rsid w:val="00FF5FCB"/>
    <w:rsid w:val="00FF6E67"/>
    <w:rsid w:val="029525AA"/>
    <w:rsid w:val="30C6D0A9"/>
    <w:rsid w:val="3F2FABD2"/>
    <w:rsid w:val="56ACD58B"/>
    <w:rsid w:val="750D2CF7"/>
    <w:rsid w:val="7CD1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D99A"/>
  <w15:docId w15:val="{45E0C81B-99D7-4748-89DC-1FE664F5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21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D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FF6E67"/>
    <w:rPr>
      <w:rFonts w:ascii="Tahoma" w:hAnsi="Tahoma" w:cs="Tahoma"/>
      <w:sz w:val="16"/>
      <w:szCs w:val="16"/>
    </w:rPr>
  </w:style>
  <w:style w:type="character" w:customStyle="1" w:styleId="BalloonTextChar">
    <w:name w:val="Balloon Text Char"/>
    <w:basedOn w:val="DefaultParagraphFont"/>
    <w:link w:val="BalloonText"/>
    <w:uiPriority w:val="99"/>
    <w:semiHidden/>
    <w:rsid w:val="00FF6E67"/>
    <w:rPr>
      <w:rFonts w:ascii="Tahoma" w:hAnsi="Tahoma" w:cs="Tahoma"/>
      <w:sz w:val="16"/>
      <w:szCs w:val="16"/>
    </w:rPr>
  </w:style>
  <w:style w:type="table" w:styleId="TableGrid">
    <w:name w:val="Table Grid"/>
    <w:basedOn w:val="TableNormal"/>
    <w:uiPriority w:val="59"/>
    <w:rsid w:val="00FF6E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F6E67"/>
    <w:pPr>
      <w:ind w:left="720"/>
      <w:contextualSpacing/>
    </w:pPr>
  </w:style>
  <w:style w:type="paragraph" w:styleId="Header">
    <w:name w:val="header"/>
    <w:basedOn w:val="Normal"/>
    <w:link w:val="HeaderChar"/>
    <w:uiPriority w:val="99"/>
    <w:unhideWhenUsed/>
    <w:rsid w:val="003937C0"/>
    <w:pPr>
      <w:tabs>
        <w:tab w:val="center" w:pos="4680"/>
        <w:tab w:val="right" w:pos="9360"/>
      </w:tabs>
    </w:pPr>
  </w:style>
  <w:style w:type="character" w:customStyle="1" w:styleId="HeaderChar">
    <w:name w:val="Header Char"/>
    <w:basedOn w:val="DefaultParagraphFont"/>
    <w:link w:val="Header"/>
    <w:uiPriority w:val="99"/>
    <w:rsid w:val="003937C0"/>
  </w:style>
  <w:style w:type="paragraph" w:styleId="Footer">
    <w:name w:val="footer"/>
    <w:basedOn w:val="Normal"/>
    <w:link w:val="FooterChar"/>
    <w:uiPriority w:val="99"/>
    <w:unhideWhenUsed/>
    <w:rsid w:val="003937C0"/>
    <w:pPr>
      <w:tabs>
        <w:tab w:val="center" w:pos="4680"/>
        <w:tab w:val="right" w:pos="9360"/>
      </w:tabs>
    </w:pPr>
  </w:style>
  <w:style w:type="character" w:customStyle="1" w:styleId="FooterChar">
    <w:name w:val="Footer Char"/>
    <w:basedOn w:val="DefaultParagraphFont"/>
    <w:link w:val="Footer"/>
    <w:uiPriority w:val="99"/>
    <w:rsid w:val="003937C0"/>
  </w:style>
  <w:style w:type="paragraph" w:styleId="NoSpacing">
    <w:name w:val="No Spacing"/>
    <w:uiPriority w:val="1"/>
    <w:qFormat/>
    <w:rsid w:val="0079256D"/>
    <w:pPr>
      <w:ind w:left="0"/>
    </w:pPr>
  </w:style>
  <w:style w:type="paragraph" w:customStyle="1" w:styleId="Default">
    <w:name w:val="Default"/>
    <w:basedOn w:val="Normal"/>
    <w:rsid w:val="007A473A"/>
    <w:pPr>
      <w:autoSpaceDE w:val="0"/>
      <w:autoSpaceDN w:val="0"/>
      <w:ind w:left="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20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8FBEE-6CA4-4DD7-AA87-61CA81815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1782</Words>
  <Characters>10284</Characters>
  <Application>Microsoft Office Word</Application>
  <DocSecurity>0</DocSecurity>
  <Lines>571</Lines>
  <Paragraphs>482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Dennis Gash</dc:creator>
  <cp:lastModifiedBy>Cecilia Livengood</cp:lastModifiedBy>
  <cp:revision>4</cp:revision>
  <cp:lastPrinted>2018-03-28T21:18:00Z</cp:lastPrinted>
  <dcterms:created xsi:type="dcterms:W3CDTF">2019-11-14T17:21:00Z</dcterms:created>
  <dcterms:modified xsi:type="dcterms:W3CDTF">2020-01-29T17:14:00Z</dcterms:modified>
</cp:coreProperties>
</file>